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963" w:h="11854" w:hRule="exact" w:wrap="none" w:vAnchor="page" w:hAnchor="page" w:x="408" w:y="768"/>
        <w:tabs>
          <w:tab w:leader="none" w:pos="59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Уведомление о выбранных объектах налогообложения, в отношении которых предоставляется налоговая льгота, по форме утвержденной приказом ФНС России от 13.07.2015 № ММВ-7-11/280@. В случае непредставления налогоплательщиком,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 физических лиц</w:t>
        <w:tab/>
        <w:t>•</w:t>
      </w:r>
    </w:p>
    <w:p>
      <w:pPr>
        <w:pStyle w:val="Style3"/>
        <w:numPr>
          <w:ilvl w:val="0"/>
          <w:numId w:val="1"/>
        </w:numPr>
        <w:framePr w:w="10963" w:h="11854" w:hRule="exact" w:wrap="none" w:vAnchor="page" w:hAnchor="page" w:x="408" w:y="768"/>
        <w:tabs>
          <w:tab w:leader="none" w:pos="2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заполняется только в случае заявления льготы по земельному налогу и транспортному налогу</w:t>
      </w:r>
    </w:p>
    <w:p>
      <w:pPr>
        <w:pStyle w:val="Style3"/>
        <w:numPr>
          <w:ilvl w:val="0"/>
          <w:numId w:val="1"/>
        </w:numPr>
        <w:framePr w:w="10963" w:h="11854" w:hRule="exact" w:wrap="none" w:vAnchor="page" w:hAnchor="page" w:x="408" w:y="768"/>
        <w:tabs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отчество указывается при наличии</w:t>
      </w:r>
    </w:p>
    <w:p>
      <w:pPr>
        <w:pStyle w:val="Style3"/>
        <w:numPr>
          <w:ilvl w:val="0"/>
          <w:numId w:val="1"/>
        </w:numPr>
        <w:framePr w:w="10963" w:h="11854" w:hRule="exact" w:wrap="none" w:vAnchor="page" w:hAnchor="page" w:x="408" w:y="768"/>
        <w:tabs>
          <w:tab w:leader="none" w:pos="2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заполняется только в случае подачи заявления представителем налогоплательщика</w:t>
      </w:r>
    </w:p>
    <w:p>
      <w:pPr>
        <w:pStyle w:val="Style5"/>
        <w:framePr w:w="10963" w:h="11854" w:hRule="exact" w:wrap="none" w:vAnchor="page" w:hAnchor="page" w:x="408" w:y="768"/>
        <w:widowControl w:val="0"/>
        <w:keepNext w:val="0"/>
        <w:keepLines w:val="0"/>
        <w:shd w:val="clear" w:color="auto" w:fill="auto"/>
        <w:bidi w:val="0"/>
        <w:jc w:val="left"/>
        <w:spacing w:before="0" w:after="209"/>
        <w:ind w:left="6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</w:t>
      </w:r>
    </w:p>
    <w:p>
      <w:pPr>
        <w:pStyle w:val="Style7"/>
        <w:framePr w:w="10963" w:h="11854" w:hRule="exact" w:wrap="none" w:vAnchor="page" w:hAnchor="page" w:x="408" w:y="768"/>
        <w:widowControl w:val="0"/>
        <w:keepNext w:val="0"/>
        <w:keepLines w:val="0"/>
        <w:shd w:val="clear" w:color="auto" w:fill="auto"/>
        <w:bidi w:val="0"/>
        <w:spacing w:before="0" w:after="168" w:line="240" w:lineRule="exact"/>
        <w:ind w:left="0" w:right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Памятка для налогоплательщика (для получения льготы)</w:t>
      </w:r>
      <w:bookmarkEnd w:id="0"/>
    </w:p>
    <w:p>
      <w:pPr>
        <w:pStyle w:val="Style7"/>
        <w:framePr w:w="10963" w:h="11854" w:hRule="exact" w:wrap="none" w:vAnchor="page" w:hAnchor="page" w:x="408" w:y="768"/>
        <w:widowControl w:val="0"/>
        <w:keepNext w:val="0"/>
        <w:keepLines w:val="0"/>
        <w:shd w:val="clear" w:color="auto" w:fill="auto"/>
        <w:bidi w:val="0"/>
        <w:spacing w:before="0" w:after="204" w:line="240" w:lineRule="exact"/>
        <w:ind w:left="0" w:right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Налог на имущество физических лиц</w:t>
      </w:r>
      <w:bookmarkEnd w:id="1"/>
    </w:p>
    <w:p>
      <w:pPr>
        <w:pStyle w:val="Style9"/>
        <w:framePr w:w="10963" w:h="11854" w:hRule="exact" w:wrap="none" w:vAnchor="page" w:hAnchor="page" w:x="408" w:y="768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Главой 32 «Налог на имущество физических лиц» Налогового кодекса Российской Федерации от уплаты налога в отношении одного объекта каждого вида (квартира или комната, жилой дом, гараж или машино-место и др.) по выбору налогоплательщика вне зависимости от количества оснований для применения налоговых льгот и не используемого в предпринимательской деятельности освобождены пенсионеры, получающие пенсии, назначаемые в порядке, установленном пенсионным законодательством Российской Федерации, инвалиды I и II групп инвалидности, военнослужащие, чернобыльцы и др.</w:t>
      </w:r>
    </w:p>
    <w:p>
      <w:pPr>
        <w:pStyle w:val="Style9"/>
        <w:framePr w:w="10963" w:h="11854" w:hRule="exact" w:wrap="none" w:vAnchor="page" w:hAnchor="page" w:x="408" w:y="768"/>
        <w:tabs>
          <w:tab w:leader="none" w:pos="6653" w:val="left"/>
        </w:tabs>
        <w:widowControl w:val="0"/>
        <w:keepNext w:val="0"/>
        <w:keepLines w:val="0"/>
        <w:shd w:val="clear" w:color="auto" w:fill="auto"/>
        <w:bidi w:val="0"/>
        <w:spacing w:before="0" w:after="335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Для получения льготы по уплате налога на имущество физические лица, </w:t>
      </w:r>
      <w:r>
        <w:rPr>
          <w:rStyle w:val="CharStyle11"/>
        </w:rPr>
        <w:t xml:space="preserve">ранее не обращающиеся в налоговый орган с документами на предоставление льготы,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представляют заявление о предоставлении льготы и документы, псуттверждающие право налогоплательщика на налоговую льготу, в налоговый орган.</w:t>
        <w:tab/>
        <w:t>&lt;</w:t>
      </w:r>
    </w:p>
    <w:p>
      <w:pPr>
        <w:pStyle w:val="Style7"/>
        <w:framePr w:w="10963" w:h="11854" w:hRule="exact" w:wrap="none" w:vAnchor="page" w:hAnchor="page" w:x="408" w:y="768"/>
        <w:widowControl w:val="0"/>
        <w:keepNext w:val="0"/>
        <w:keepLines w:val="0"/>
        <w:shd w:val="clear" w:color="auto" w:fill="auto"/>
        <w:bidi w:val="0"/>
        <w:spacing w:before="0" w:after="194" w:line="240" w:lineRule="exact"/>
        <w:ind w:left="0" w:right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Транспортный налог с физических лиц</w:t>
      </w:r>
      <w:bookmarkEnd w:id="2"/>
    </w:p>
    <w:p>
      <w:pPr>
        <w:pStyle w:val="Style9"/>
        <w:framePr w:w="10963" w:h="11854" w:hRule="exact" w:wrap="none" w:vAnchor="page" w:hAnchor="page" w:x="408" w:y="768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Главой 28 «Транспортный налог» Налогового кодекса Российской Федерации для категории физических лиц, являющихся пенсионерами, льгота по транспортному налогу не предусмотрена.</w:t>
      </w:r>
    </w:p>
    <w:p>
      <w:pPr>
        <w:pStyle w:val="Style9"/>
        <w:framePr w:w="10963" w:h="11854" w:hRule="exact" w:wrap="none" w:vAnchor="page" w:hAnchor="page" w:x="408" w:y="768"/>
        <w:widowControl w:val="0"/>
        <w:keepNext w:val="0"/>
        <w:keepLines w:val="0"/>
        <w:shd w:val="clear" w:color="auto" w:fill="auto"/>
        <w:bidi w:val="0"/>
        <w:spacing w:before="0" w:after="24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Главой 6 Закона Пермской области от 30.08.2001 № 1685-296 «О налогообложении в Пермском крае» право на льготу в размере 50 % от суммы налога, подлежащего уплате, предоставлено налогоплательщикам, достигшим возраста, при котором возникает право на пенсию по старости, в отношении легковых автомобилей до 100 л.с. включительно; мотоциклов (мотороллеров), катеров, моторных лодок с мощностью щвигателя до 50 л.с. включительно; самоходных транспортных средств, машин и механизмов на пневматическом и гусеничном ходу (на одну единицу транспортных средств - легковой автомобиль, мотоцикл (мотороллер), катер, моторную лодку, самоходное транспортное средство, машину и механизм на пневматическом и гусеничном ходу) - на основании заявления и документов, подтверждающих право на льготу (паспорт, пенсионное удостоверение), представляемых в налоговый орган по месту регистрации места жительства.</w:t>
      </w:r>
    </w:p>
    <w:p>
      <w:pPr>
        <w:pStyle w:val="Style9"/>
        <w:framePr w:w="10963" w:h="11854" w:hRule="exact" w:wrap="none" w:vAnchor="page" w:hAnchor="page" w:x="408" w:y="768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На сайте ФНС России в Интернет-ресурсах «Имущественные налоги: ставки и льготы» по адресу: </w:t>
      </w:r>
      <w:r>
        <w:fldChar w:fldCharType="begin"/>
      </w:r>
      <w:r>
        <w:rPr>
          <w:color w:val="000000"/>
        </w:rPr>
        <w:instrText> HYPERLINK "http://www.nalog.ru/tax/%d0%ad%d0%bb%d0%b5%d0%ba%d1%82%d1%80%d0%be%d0%bd%d0%bd%d1%8b%d0%b5"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www.nalog.ru/tax</w:t>
      </w:r>
      <w:r>
        <w:rPr>
          <w:rStyle w:val="Hyperlink"/>
          <w:lang w:val="ru-RU" w:eastAsia="ru-RU" w:bidi="ru-RU"/>
          <w:sz w:val="24"/>
          <w:szCs w:val="24"/>
          <w:w w:val="100"/>
          <w:spacing w:val="0"/>
          <w:position w:val="0"/>
        </w:rPr>
        <w:t>/Электронные</w:t>
      </w:r>
      <w:r>
        <w:fldChar w:fldCharType="end"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сервисы размещена информация для налогоплательщиков о налоговых ставках и льготах, установленных в субъектах Российской Федерации.</w:t>
      </w:r>
    </w:p>
    <w:p>
      <w:pPr>
        <w:framePr w:wrap="none" w:vAnchor="page" w:hAnchor="page" w:x="7065" w:y="12986"/>
        <w:widowControl w:val="0"/>
      </w:pPr>
    </w:p>
    <w:p>
      <w:pPr>
        <w:pStyle w:val="Style14"/>
        <w:framePr w:wrap="none" w:vAnchor="page" w:hAnchor="page" w:x="408" w:y="13914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6680" w:right="0" w:firstLine="0"/>
      </w:pPr>
      <w:r>
        <w:rPr>
          <w:w w:val="100"/>
          <w:spacing w:val="0"/>
          <w:color w:val="000000"/>
          <w:position w:val="0"/>
        </w:rPr>
        <w:t>f</w:t>
      </w:r>
    </w:p>
    <w:p>
      <w:pPr>
        <w:pStyle w:val="Style16"/>
        <w:framePr w:wrap="none" w:vAnchor="page" w:hAnchor="page" w:x="6302" w:y="1509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i</w:t>
      </w:r>
    </w:p>
    <w:p>
      <w:pPr>
        <w:framePr w:wrap="none" w:vAnchor="page" w:hAnchor="page" w:x="7061" w:y="15179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/>
      <w:iCs/>
      <w:u w:val="none"/>
      <w:strike w:val="0"/>
      <w:smallCaps w:val="0"/>
      <w:sz w:val="12"/>
      <w:szCs w:val="12"/>
      <w:rFonts w:ascii="Verdana" w:eastAsia="Verdana" w:hAnsi="Verdana" w:cs="Verdana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2) + Полужирный"/>
    <w:basedOn w:val="CharStyle10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Другое_"/>
    <w:basedOn w:val="DefaultParagraphFont"/>
    <w:link w:val="Style1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5">
    <w:name w:val="Основной текст (5)_"/>
    <w:basedOn w:val="DefaultParagraphFont"/>
    <w:link w:val="Style1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Verdana" w:eastAsia="Verdana" w:hAnsi="Verdana" w:cs="Verdana"/>
    </w:rPr>
  </w:style>
  <w:style w:type="character" w:customStyle="1" w:styleId="CharStyle17">
    <w:name w:val="Колонтитул_"/>
    <w:basedOn w:val="DefaultParagraphFont"/>
    <w:link w:val="Style16"/>
    <w:rPr>
      <w:lang w:val="en-US" w:eastAsia="en-US" w:bidi="en-US"/>
      <w:b w:val="0"/>
      <w:bCs w:val="0"/>
      <w:i/>
      <w:iCs/>
      <w:u w:val="none"/>
      <w:strike w:val="0"/>
      <w:smallCaps w:val="0"/>
      <w:sz w:val="16"/>
      <w:szCs w:val="16"/>
      <w:rFonts w:ascii="Verdana" w:eastAsia="Verdana" w:hAnsi="Verdana" w:cs="Verdana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line="20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after="240" w:line="202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Verdana" w:eastAsia="Verdana" w:hAnsi="Verdana" w:cs="Verdana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both"/>
      <w:outlineLvl w:val="0"/>
      <w:spacing w:before="240" w:after="240" w:line="0" w:lineRule="exact"/>
      <w:ind w:firstLine="9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300" w:line="283" w:lineRule="exact"/>
      <w:ind w:firstLine="9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spacing w:before="114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Verdana" w:eastAsia="Verdana" w:hAnsi="Verdana" w:cs="Verdana"/>
    </w:rPr>
  </w:style>
  <w:style w:type="paragraph" w:customStyle="1" w:styleId="Style16">
    <w:name w:val="Колонтитул"/>
    <w:basedOn w:val="Normal"/>
    <w:link w:val="CharStyle17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6"/>
      <w:szCs w:val="16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