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3AD" w:rsidRPr="004C6CCF" w:rsidRDefault="004263AD" w:rsidP="004263AD">
      <w:pPr>
        <w:autoSpaceDE w:val="0"/>
        <w:autoSpaceDN w:val="0"/>
        <w:adjustRightInd w:val="0"/>
        <w:spacing w:before="120"/>
        <w:ind w:firstLine="567"/>
        <w:jc w:val="center"/>
        <w:rPr>
          <w:b/>
          <w:bCs/>
          <w:color w:val="000000"/>
          <w:sz w:val="32"/>
          <w:szCs w:val="32"/>
        </w:rPr>
      </w:pPr>
      <w:r w:rsidRPr="004C6CCF">
        <w:rPr>
          <w:b/>
          <w:bCs/>
          <w:color w:val="000000"/>
          <w:sz w:val="32"/>
          <w:szCs w:val="32"/>
        </w:rPr>
        <w:t>Повышение пенсий и социальных выплат в феврале</w:t>
      </w:r>
    </w:p>
    <w:p w:rsidR="004263AD" w:rsidRDefault="004263AD" w:rsidP="004263AD">
      <w:pPr>
        <w:autoSpaceDE w:val="0"/>
        <w:autoSpaceDN w:val="0"/>
        <w:adjustRightInd w:val="0"/>
        <w:spacing w:before="60" w:after="60"/>
        <w:ind w:firstLine="567"/>
        <w:rPr>
          <w:color w:val="000000"/>
        </w:rPr>
      </w:pPr>
      <w:r>
        <w:rPr>
          <w:color w:val="000000"/>
        </w:rPr>
        <w:t xml:space="preserve">В 2017 году индексация пенсий вернется к прежнему порядку, когда </w:t>
      </w:r>
      <w:r w:rsidRPr="008C2CAF">
        <w:rPr>
          <w:b/>
          <w:color w:val="000000"/>
        </w:rPr>
        <w:t>страховые пенсии</w:t>
      </w:r>
      <w:r>
        <w:rPr>
          <w:color w:val="000000"/>
        </w:rPr>
        <w:t xml:space="preserve"> увеличиваются на уровень фактической инфляции, а </w:t>
      </w:r>
      <w:proofErr w:type="spellStart"/>
      <w:r>
        <w:rPr>
          <w:color w:val="000000"/>
        </w:rPr>
        <w:t>госпенсии</w:t>
      </w:r>
      <w:proofErr w:type="spellEnd"/>
      <w:r>
        <w:rPr>
          <w:color w:val="000000"/>
        </w:rPr>
        <w:t>, включая социальные, – с учетом индекса роста прожиточного минимума пенсионера.</w:t>
      </w:r>
    </w:p>
    <w:p w:rsidR="004263AD" w:rsidRDefault="004263AD" w:rsidP="004263AD">
      <w:pPr>
        <w:autoSpaceDE w:val="0"/>
        <w:autoSpaceDN w:val="0"/>
        <w:adjustRightInd w:val="0"/>
        <w:spacing w:before="60" w:after="60"/>
        <w:ind w:firstLine="567"/>
        <w:rPr>
          <w:color w:val="000000"/>
        </w:rPr>
      </w:pPr>
      <w:r>
        <w:rPr>
          <w:color w:val="000000"/>
        </w:rPr>
        <w:t xml:space="preserve">Поэтому с февраля страховые пенсии </w:t>
      </w:r>
      <w:r w:rsidRPr="005A009C">
        <w:rPr>
          <w:b/>
          <w:color w:val="000000"/>
        </w:rPr>
        <w:t>неработающих пенсионеров</w:t>
      </w:r>
      <w:r>
        <w:rPr>
          <w:color w:val="000000"/>
        </w:rPr>
        <w:t xml:space="preserve"> увеличатся на уровень инфляции за 2016 год –  на 5,4%. Вместе со страховой пенсией до 4 805,11 рублей вырастет и размер фиксированной выплаты к ней, а также стоимость пенсионного балла – до 78,28 рубля (в 2016 году – 74,27 рубля).</w:t>
      </w:r>
    </w:p>
    <w:p w:rsidR="004263AD" w:rsidRPr="00A06021" w:rsidRDefault="004263AD" w:rsidP="004263AD">
      <w:pPr>
        <w:ind w:firstLine="567"/>
      </w:pPr>
      <w:r>
        <w:t xml:space="preserve"> В</w:t>
      </w:r>
      <w:r w:rsidRPr="00A06021">
        <w:t xml:space="preserve"> Пермском  крае получат</w:t>
      </w:r>
      <w:r>
        <w:t>елями страховых пенсий являются 726,9</w:t>
      </w:r>
      <w:r w:rsidRPr="00A06021">
        <w:t xml:space="preserve"> тыс. че</w:t>
      </w:r>
      <w:r>
        <w:t>ловек. Из них не работают около 78</w:t>
      </w:r>
      <w:r w:rsidRPr="00A06021">
        <w:t xml:space="preserve">% пенсионеров, их пенсии вырастут на </w:t>
      </w:r>
      <w:r>
        <w:t>5,4</w:t>
      </w:r>
      <w:r w:rsidRPr="00A06021">
        <w:t xml:space="preserve">%.  </w:t>
      </w:r>
    </w:p>
    <w:p w:rsidR="004263AD" w:rsidRDefault="004263AD" w:rsidP="004263AD">
      <w:pPr>
        <w:ind w:firstLine="567"/>
      </w:pPr>
      <w:r>
        <w:t>Расчетное м</w:t>
      </w:r>
      <w:r w:rsidRPr="00A06021">
        <w:t xml:space="preserve">инимальное увеличение пенсий </w:t>
      </w:r>
      <w:r>
        <w:t xml:space="preserve">в </w:t>
      </w:r>
      <w:proofErr w:type="spellStart"/>
      <w:r>
        <w:t>Прикамье</w:t>
      </w:r>
      <w:proofErr w:type="spellEnd"/>
      <w:r>
        <w:t xml:space="preserve"> составит 300</w:t>
      </w:r>
      <w:r w:rsidRPr="00A06021">
        <w:t xml:space="preserve"> рублей, максимальное -  </w:t>
      </w:r>
      <w:r>
        <w:t>1000</w:t>
      </w:r>
      <w:r w:rsidRPr="00A06021">
        <w:t xml:space="preserve"> руб. </w:t>
      </w:r>
      <w:r>
        <w:t xml:space="preserve">По предварительным подсчетам после этого повышения расходы Отделения ПФР по Пермскому краю на выплату пенсий вырастут на 470 млн. рублей ежемесячно. Средний размер всех пенсий составит  12 945,6 руб. или увеличится на 622,45 рублей. </w:t>
      </w:r>
    </w:p>
    <w:p w:rsidR="004263AD" w:rsidRDefault="004263AD" w:rsidP="004263AD">
      <w:pPr>
        <w:autoSpaceDE w:val="0"/>
        <w:autoSpaceDN w:val="0"/>
        <w:adjustRightInd w:val="0"/>
        <w:spacing w:before="60" w:after="60"/>
        <w:ind w:firstLine="567"/>
        <w:rPr>
          <w:color w:val="000000"/>
        </w:rPr>
      </w:pPr>
      <w:r>
        <w:rPr>
          <w:color w:val="000000"/>
        </w:rPr>
        <w:t>С 1 февраля 2017 года размеры ежемесячной денежной выплаты (ЕДВ), которую получают федеральные льготники, будут проиндексированы на 5,4%.</w:t>
      </w:r>
    </w:p>
    <w:p w:rsidR="004263AD" w:rsidRDefault="004263AD" w:rsidP="004263AD">
      <w:pPr>
        <w:autoSpaceDE w:val="0"/>
        <w:autoSpaceDN w:val="0"/>
        <w:adjustRightInd w:val="0"/>
        <w:spacing w:before="60" w:after="60"/>
        <w:ind w:firstLine="567"/>
      </w:pPr>
      <w:r w:rsidRPr="008C23FB">
        <w:t>Средний размер ЕДВ увеличится</w:t>
      </w:r>
      <w:r>
        <w:t xml:space="preserve"> по сравнению с началом года на 116,54  руб</w:t>
      </w:r>
      <w:r w:rsidRPr="008C23FB">
        <w:t xml:space="preserve">. </w:t>
      </w:r>
      <w:r>
        <w:t xml:space="preserve">и составит 2 274,7 руб. Расходы в Пермском крае на выплату ЕДВ вырастут примерно на 30 </w:t>
      </w:r>
      <w:proofErr w:type="spellStart"/>
      <w:r>
        <w:t>млн</w:t>
      </w:r>
      <w:proofErr w:type="gramStart"/>
      <w:r>
        <w:t>.р</w:t>
      </w:r>
      <w:proofErr w:type="gramEnd"/>
      <w:r>
        <w:t>ублей</w:t>
      </w:r>
      <w:proofErr w:type="spellEnd"/>
      <w:r>
        <w:t xml:space="preserve"> ежемесячно.</w:t>
      </w:r>
    </w:p>
    <w:p w:rsidR="004263AD" w:rsidRPr="008C23FB" w:rsidRDefault="004263AD" w:rsidP="004263AD">
      <w:pPr>
        <w:autoSpaceDE w:val="0"/>
        <w:autoSpaceDN w:val="0"/>
        <w:adjustRightInd w:val="0"/>
        <w:spacing w:before="60" w:after="60"/>
        <w:ind w:firstLine="567"/>
      </w:pPr>
      <w:r w:rsidRPr="008C23FB">
        <w:t xml:space="preserve">Также подлежит индексации на </w:t>
      </w:r>
      <w:r>
        <w:t xml:space="preserve">5,4 </w:t>
      </w:r>
      <w:r w:rsidRPr="008C23FB">
        <w:t xml:space="preserve">% стоимость набора социальных услуг. </w:t>
      </w:r>
    </w:p>
    <w:p w:rsidR="004263AD" w:rsidRPr="008C23FB" w:rsidRDefault="004263AD" w:rsidP="004263AD">
      <w:pPr>
        <w:ind w:firstLine="567"/>
      </w:pPr>
      <w:r w:rsidRPr="008C23FB">
        <w:t xml:space="preserve">Стоимость набора социальных услуг (НСУ) с </w:t>
      </w:r>
      <w:r>
        <w:t>1 февраля</w:t>
      </w:r>
      <w:r w:rsidRPr="008C23FB">
        <w:t xml:space="preserve"> 201</w:t>
      </w:r>
      <w:r>
        <w:t>7</w:t>
      </w:r>
      <w:r w:rsidRPr="008C23FB">
        <w:t xml:space="preserve"> года составит </w:t>
      </w:r>
      <w:r>
        <w:t xml:space="preserve"> 1048,97 руб. в том</w:t>
      </w:r>
      <w:r w:rsidRPr="008C23FB">
        <w:t xml:space="preserve"> числе:</w:t>
      </w:r>
      <w:r>
        <w:t xml:space="preserve"> </w:t>
      </w:r>
      <w:r w:rsidRPr="008C23FB">
        <w:t xml:space="preserve">лекарственное обеспечение – </w:t>
      </w:r>
      <w:r>
        <w:t xml:space="preserve"> 807,94</w:t>
      </w:r>
      <w:r w:rsidRPr="008C23FB">
        <w:t>руб.;</w:t>
      </w:r>
      <w:r>
        <w:t xml:space="preserve"> </w:t>
      </w:r>
      <w:r w:rsidRPr="008C23FB">
        <w:t xml:space="preserve">санаторно-курортное лечение – </w:t>
      </w:r>
      <w:r>
        <w:t>124,99</w:t>
      </w:r>
      <w:r w:rsidRPr="008C23FB">
        <w:t xml:space="preserve"> руб.; проезд на пригородном железнодорожном транспорте, а также на междугородном транспор</w:t>
      </w:r>
      <w:r>
        <w:t>те к месту лечения и обратно  – 116,04</w:t>
      </w:r>
      <w:r w:rsidRPr="008C23FB">
        <w:t xml:space="preserve"> руб.</w:t>
      </w:r>
    </w:p>
    <w:p w:rsidR="004263AD" w:rsidRPr="00EB302E" w:rsidRDefault="004263AD" w:rsidP="004263AD">
      <w:pPr>
        <w:rPr>
          <w:b/>
        </w:rPr>
      </w:pPr>
      <w:r w:rsidRPr="008C23FB">
        <w:tab/>
        <w:t>Размер ЕДВ устанавливается в фиксиро</w:t>
      </w:r>
      <w:r>
        <w:t xml:space="preserve">ванном размере, и с учетом </w:t>
      </w:r>
      <w:r w:rsidRPr="008C23FB">
        <w:t xml:space="preserve"> набора социальных услуг составляет:</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1980"/>
        <w:gridCol w:w="2340"/>
        <w:gridCol w:w="2340"/>
      </w:tblGrid>
      <w:tr w:rsidR="004263AD" w:rsidRPr="00401DCA" w:rsidTr="00AE3677">
        <w:tblPrEx>
          <w:tblCellMar>
            <w:top w:w="0" w:type="dxa"/>
            <w:bottom w:w="0" w:type="dxa"/>
          </w:tblCellMar>
        </w:tblPrEx>
        <w:trPr>
          <w:cantSplit/>
          <w:trHeight w:val="1222"/>
        </w:trPr>
        <w:tc>
          <w:tcPr>
            <w:tcW w:w="2988" w:type="dxa"/>
          </w:tcPr>
          <w:p w:rsidR="004263AD" w:rsidRPr="008C23FB" w:rsidRDefault="004263AD" w:rsidP="00AE3677">
            <w:pPr>
              <w:rPr>
                <w:b/>
              </w:rPr>
            </w:pPr>
            <w:r w:rsidRPr="008C23FB">
              <w:rPr>
                <w:b/>
              </w:rPr>
              <w:t>Наименование</w:t>
            </w:r>
          </w:p>
        </w:tc>
        <w:tc>
          <w:tcPr>
            <w:tcW w:w="1980" w:type="dxa"/>
          </w:tcPr>
          <w:p w:rsidR="004263AD" w:rsidRPr="008C23FB" w:rsidRDefault="004263AD" w:rsidP="00AE3677">
            <w:pPr>
              <w:jc w:val="center"/>
              <w:rPr>
                <w:b/>
              </w:rPr>
            </w:pPr>
            <w:r w:rsidRPr="008C23FB">
              <w:rPr>
                <w:b/>
              </w:rPr>
              <w:t>Размер</w:t>
            </w:r>
          </w:p>
          <w:p w:rsidR="004263AD" w:rsidRPr="008C23FB" w:rsidRDefault="004263AD" w:rsidP="00AE3677">
            <w:pPr>
              <w:jc w:val="center"/>
              <w:rPr>
                <w:b/>
              </w:rPr>
            </w:pPr>
            <w:r w:rsidRPr="008C23FB">
              <w:rPr>
                <w:b/>
              </w:rPr>
              <w:t>с 01.0</w:t>
            </w:r>
            <w:r>
              <w:rPr>
                <w:b/>
              </w:rPr>
              <w:t>2.2016</w:t>
            </w:r>
          </w:p>
          <w:p w:rsidR="004263AD" w:rsidRPr="008C23FB" w:rsidRDefault="004263AD" w:rsidP="00AE3677">
            <w:pPr>
              <w:jc w:val="center"/>
              <w:rPr>
                <w:b/>
              </w:rPr>
            </w:pPr>
            <w:r w:rsidRPr="008C23FB">
              <w:rPr>
                <w:b/>
              </w:rPr>
              <w:t>в рублях</w:t>
            </w:r>
          </w:p>
        </w:tc>
        <w:tc>
          <w:tcPr>
            <w:tcW w:w="2340" w:type="dxa"/>
          </w:tcPr>
          <w:p w:rsidR="004263AD" w:rsidRPr="00401DCA" w:rsidRDefault="004263AD" w:rsidP="00AE3677">
            <w:pPr>
              <w:jc w:val="center"/>
              <w:rPr>
                <w:b/>
              </w:rPr>
            </w:pPr>
            <w:r w:rsidRPr="00401DCA">
              <w:rPr>
                <w:b/>
              </w:rPr>
              <w:t>Размер</w:t>
            </w:r>
          </w:p>
          <w:p w:rsidR="004263AD" w:rsidRPr="00401DCA" w:rsidRDefault="004263AD" w:rsidP="00AE3677">
            <w:pPr>
              <w:jc w:val="center"/>
              <w:rPr>
                <w:b/>
              </w:rPr>
            </w:pPr>
            <w:r w:rsidRPr="00401DCA">
              <w:rPr>
                <w:b/>
              </w:rPr>
              <w:t>с 01.02.2017</w:t>
            </w:r>
          </w:p>
          <w:p w:rsidR="004263AD" w:rsidRPr="00401DCA" w:rsidRDefault="004263AD" w:rsidP="00AE3677">
            <w:pPr>
              <w:jc w:val="center"/>
              <w:rPr>
                <w:b/>
              </w:rPr>
            </w:pPr>
            <w:r w:rsidRPr="00401DCA">
              <w:rPr>
                <w:b/>
              </w:rPr>
              <w:t>в рублях</w:t>
            </w:r>
          </w:p>
        </w:tc>
        <w:tc>
          <w:tcPr>
            <w:tcW w:w="2340" w:type="dxa"/>
          </w:tcPr>
          <w:p w:rsidR="004263AD" w:rsidRDefault="004263AD" w:rsidP="00AE3677">
            <w:pPr>
              <w:jc w:val="center"/>
              <w:rPr>
                <w:b/>
              </w:rPr>
            </w:pPr>
            <w:r>
              <w:rPr>
                <w:b/>
              </w:rPr>
              <w:t>Разница</w:t>
            </w:r>
          </w:p>
          <w:p w:rsidR="004263AD" w:rsidRPr="00401DCA" w:rsidRDefault="004263AD" w:rsidP="00AE3677">
            <w:pPr>
              <w:jc w:val="center"/>
              <w:rPr>
                <w:b/>
              </w:rPr>
            </w:pPr>
          </w:p>
        </w:tc>
      </w:tr>
      <w:tr w:rsidR="004263AD" w:rsidRPr="001D6A77" w:rsidTr="00AE3677">
        <w:tblPrEx>
          <w:tblCellMar>
            <w:top w:w="0" w:type="dxa"/>
            <w:bottom w:w="0" w:type="dxa"/>
          </w:tblCellMar>
        </w:tblPrEx>
        <w:tc>
          <w:tcPr>
            <w:tcW w:w="2988" w:type="dxa"/>
          </w:tcPr>
          <w:p w:rsidR="004263AD" w:rsidRPr="008C23FB" w:rsidRDefault="004263AD" w:rsidP="00AE3677">
            <w:r w:rsidRPr="008C23FB">
              <w:t>Инвалиды 1 группы</w:t>
            </w:r>
          </w:p>
        </w:tc>
        <w:tc>
          <w:tcPr>
            <w:tcW w:w="1980" w:type="dxa"/>
          </w:tcPr>
          <w:p w:rsidR="004263AD" w:rsidRPr="008C23FB" w:rsidRDefault="004263AD" w:rsidP="00AE3677">
            <w:pPr>
              <w:jc w:val="center"/>
            </w:pPr>
            <w:r>
              <w:t>3357,23</w:t>
            </w:r>
          </w:p>
        </w:tc>
        <w:tc>
          <w:tcPr>
            <w:tcW w:w="2340" w:type="dxa"/>
          </w:tcPr>
          <w:p w:rsidR="004263AD" w:rsidRPr="001D6A77" w:rsidRDefault="004263AD" w:rsidP="00AE3677">
            <w:pPr>
              <w:jc w:val="center"/>
            </w:pPr>
            <w:r>
              <w:t>3538,52</w:t>
            </w:r>
          </w:p>
        </w:tc>
        <w:tc>
          <w:tcPr>
            <w:tcW w:w="2340" w:type="dxa"/>
          </w:tcPr>
          <w:p w:rsidR="004263AD" w:rsidRDefault="004263AD" w:rsidP="00AE3677">
            <w:pPr>
              <w:jc w:val="center"/>
            </w:pPr>
            <w:r>
              <w:t>181,29</w:t>
            </w:r>
          </w:p>
        </w:tc>
      </w:tr>
      <w:tr w:rsidR="004263AD" w:rsidRPr="001D6A77" w:rsidTr="00AE3677">
        <w:tblPrEx>
          <w:tblCellMar>
            <w:top w:w="0" w:type="dxa"/>
            <w:bottom w:w="0" w:type="dxa"/>
          </w:tblCellMar>
        </w:tblPrEx>
        <w:trPr>
          <w:trHeight w:val="658"/>
        </w:trPr>
        <w:tc>
          <w:tcPr>
            <w:tcW w:w="2988" w:type="dxa"/>
          </w:tcPr>
          <w:p w:rsidR="004263AD" w:rsidRPr="008C23FB" w:rsidRDefault="004263AD" w:rsidP="00AE3677">
            <w:r w:rsidRPr="008C23FB">
              <w:t>Инвалиды 2 группы и</w:t>
            </w:r>
          </w:p>
          <w:p w:rsidR="004263AD" w:rsidRPr="008C23FB" w:rsidRDefault="004263AD" w:rsidP="00AE3677">
            <w:r w:rsidRPr="008C23FB">
              <w:t>дети-инвалиды</w:t>
            </w:r>
          </w:p>
        </w:tc>
        <w:tc>
          <w:tcPr>
            <w:tcW w:w="1980" w:type="dxa"/>
          </w:tcPr>
          <w:p w:rsidR="004263AD" w:rsidRPr="008C23FB" w:rsidRDefault="004263AD" w:rsidP="00AE3677">
            <w:pPr>
              <w:jc w:val="center"/>
            </w:pPr>
            <w:r>
              <w:t>2397,59</w:t>
            </w:r>
          </w:p>
        </w:tc>
        <w:tc>
          <w:tcPr>
            <w:tcW w:w="2340" w:type="dxa"/>
          </w:tcPr>
          <w:p w:rsidR="004263AD" w:rsidRPr="001D6A77" w:rsidRDefault="004263AD" w:rsidP="00AE3677">
            <w:r>
              <w:t xml:space="preserve">          2527,06</w:t>
            </w:r>
          </w:p>
        </w:tc>
        <w:tc>
          <w:tcPr>
            <w:tcW w:w="2340" w:type="dxa"/>
          </w:tcPr>
          <w:p w:rsidR="004263AD" w:rsidRDefault="004263AD" w:rsidP="00AE3677">
            <w:pPr>
              <w:jc w:val="center"/>
            </w:pPr>
            <w:r>
              <w:t>129,47</w:t>
            </w:r>
          </w:p>
        </w:tc>
      </w:tr>
      <w:tr w:rsidR="004263AD" w:rsidRPr="001D6A77" w:rsidTr="00AE3677">
        <w:tblPrEx>
          <w:tblCellMar>
            <w:top w:w="0" w:type="dxa"/>
            <w:bottom w:w="0" w:type="dxa"/>
          </w:tblCellMar>
        </w:tblPrEx>
        <w:tc>
          <w:tcPr>
            <w:tcW w:w="2988" w:type="dxa"/>
          </w:tcPr>
          <w:p w:rsidR="004263AD" w:rsidRPr="008C23FB" w:rsidRDefault="004263AD" w:rsidP="00AE3677">
            <w:r w:rsidRPr="008C23FB">
              <w:t>Инвалиды 3 группы</w:t>
            </w:r>
          </w:p>
        </w:tc>
        <w:tc>
          <w:tcPr>
            <w:tcW w:w="1980" w:type="dxa"/>
          </w:tcPr>
          <w:p w:rsidR="004263AD" w:rsidRPr="008C23FB" w:rsidRDefault="004263AD" w:rsidP="00AE3677">
            <w:pPr>
              <w:jc w:val="center"/>
            </w:pPr>
            <w:r>
              <w:t>1919,30</w:t>
            </w:r>
          </w:p>
        </w:tc>
        <w:tc>
          <w:tcPr>
            <w:tcW w:w="2340" w:type="dxa"/>
          </w:tcPr>
          <w:p w:rsidR="004263AD" w:rsidRPr="001D6A77" w:rsidRDefault="004263AD" w:rsidP="00AE3677">
            <w:pPr>
              <w:jc w:val="center"/>
            </w:pPr>
            <w:r>
              <w:t>2022,94</w:t>
            </w:r>
          </w:p>
        </w:tc>
        <w:tc>
          <w:tcPr>
            <w:tcW w:w="2340" w:type="dxa"/>
          </w:tcPr>
          <w:p w:rsidR="004263AD" w:rsidRDefault="004263AD" w:rsidP="00AE3677">
            <w:r>
              <w:t xml:space="preserve">           103,64</w:t>
            </w:r>
          </w:p>
        </w:tc>
      </w:tr>
      <w:tr w:rsidR="004263AD" w:rsidRPr="001D6A77" w:rsidTr="00AE3677">
        <w:tblPrEx>
          <w:tblCellMar>
            <w:top w:w="0" w:type="dxa"/>
            <w:bottom w:w="0" w:type="dxa"/>
          </w:tblCellMar>
        </w:tblPrEx>
        <w:tc>
          <w:tcPr>
            <w:tcW w:w="2988" w:type="dxa"/>
          </w:tcPr>
          <w:p w:rsidR="004263AD" w:rsidRPr="008C23FB" w:rsidRDefault="004263AD" w:rsidP="00AE3677">
            <w:r w:rsidRPr="008C23FB">
              <w:t>Инвалиды и участники ВОВ, ставшие инвалидами</w:t>
            </w:r>
          </w:p>
        </w:tc>
        <w:tc>
          <w:tcPr>
            <w:tcW w:w="1980" w:type="dxa"/>
          </w:tcPr>
          <w:p w:rsidR="004263AD" w:rsidRPr="008C23FB" w:rsidRDefault="004263AD" w:rsidP="00AE3677">
            <w:pPr>
              <w:jc w:val="center"/>
            </w:pPr>
            <w:r>
              <w:t>4795,17</w:t>
            </w:r>
          </w:p>
        </w:tc>
        <w:tc>
          <w:tcPr>
            <w:tcW w:w="2340" w:type="dxa"/>
          </w:tcPr>
          <w:p w:rsidR="004263AD" w:rsidRPr="001D6A77" w:rsidRDefault="004263AD" w:rsidP="00AE3677">
            <w:pPr>
              <w:jc w:val="center"/>
            </w:pPr>
            <w:r>
              <w:t>5054,11</w:t>
            </w:r>
          </w:p>
        </w:tc>
        <w:tc>
          <w:tcPr>
            <w:tcW w:w="2340" w:type="dxa"/>
          </w:tcPr>
          <w:p w:rsidR="004263AD" w:rsidRDefault="004263AD" w:rsidP="00AE3677">
            <w:pPr>
              <w:jc w:val="center"/>
            </w:pPr>
            <w:r>
              <w:t>258,94</w:t>
            </w:r>
          </w:p>
        </w:tc>
      </w:tr>
      <w:tr w:rsidR="004263AD" w:rsidRPr="001D6A77" w:rsidTr="00AE3677">
        <w:tblPrEx>
          <w:tblCellMar>
            <w:top w:w="0" w:type="dxa"/>
            <w:bottom w:w="0" w:type="dxa"/>
          </w:tblCellMar>
        </w:tblPrEx>
        <w:tc>
          <w:tcPr>
            <w:tcW w:w="2988" w:type="dxa"/>
          </w:tcPr>
          <w:p w:rsidR="004263AD" w:rsidRPr="008C23FB" w:rsidRDefault="004263AD" w:rsidP="00AE3677">
            <w:r w:rsidRPr="008C23FB">
              <w:t>Ветераны боевых действий</w:t>
            </w:r>
          </w:p>
        </w:tc>
        <w:tc>
          <w:tcPr>
            <w:tcW w:w="1980" w:type="dxa"/>
          </w:tcPr>
          <w:p w:rsidR="004263AD" w:rsidRPr="008C23FB" w:rsidRDefault="004263AD" w:rsidP="00AE3677">
            <w:pPr>
              <w:jc w:val="center"/>
            </w:pPr>
            <w:r>
              <w:t>2638,27</w:t>
            </w:r>
          </w:p>
        </w:tc>
        <w:tc>
          <w:tcPr>
            <w:tcW w:w="2340" w:type="dxa"/>
          </w:tcPr>
          <w:p w:rsidR="004263AD" w:rsidRPr="001D6A77" w:rsidRDefault="004263AD" w:rsidP="00AE3677">
            <w:r>
              <w:t xml:space="preserve">           2780,74</w:t>
            </w:r>
          </w:p>
        </w:tc>
        <w:tc>
          <w:tcPr>
            <w:tcW w:w="2340" w:type="dxa"/>
          </w:tcPr>
          <w:p w:rsidR="004263AD" w:rsidRDefault="004263AD" w:rsidP="00AE3677">
            <w:r>
              <w:t xml:space="preserve">           142,47</w:t>
            </w:r>
          </w:p>
        </w:tc>
      </w:tr>
      <w:tr w:rsidR="004263AD" w:rsidRPr="001D6A77" w:rsidTr="00AE3677">
        <w:tblPrEx>
          <w:tblCellMar>
            <w:top w:w="0" w:type="dxa"/>
            <w:bottom w:w="0" w:type="dxa"/>
          </w:tblCellMar>
        </w:tblPrEx>
        <w:tc>
          <w:tcPr>
            <w:tcW w:w="2988" w:type="dxa"/>
          </w:tcPr>
          <w:p w:rsidR="004263AD" w:rsidRPr="008C23FB" w:rsidRDefault="004263AD" w:rsidP="00AE3677">
            <w:r w:rsidRPr="008C23FB">
              <w:t>Члены семей погибших инвалидов и участников ВОВ</w:t>
            </w:r>
          </w:p>
        </w:tc>
        <w:tc>
          <w:tcPr>
            <w:tcW w:w="1980" w:type="dxa"/>
          </w:tcPr>
          <w:p w:rsidR="004263AD" w:rsidRPr="008C23FB" w:rsidRDefault="004263AD" w:rsidP="00AE3677">
            <w:pPr>
              <w:jc w:val="center"/>
            </w:pPr>
            <w:r>
              <w:t>1439,47</w:t>
            </w:r>
          </w:p>
        </w:tc>
        <w:tc>
          <w:tcPr>
            <w:tcW w:w="2340" w:type="dxa"/>
          </w:tcPr>
          <w:p w:rsidR="004263AD" w:rsidRPr="001D6A77" w:rsidRDefault="004263AD" w:rsidP="00AE3677">
            <w:r>
              <w:t xml:space="preserve">           1517,20</w:t>
            </w:r>
          </w:p>
        </w:tc>
        <w:tc>
          <w:tcPr>
            <w:tcW w:w="2340" w:type="dxa"/>
          </w:tcPr>
          <w:p w:rsidR="004263AD" w:rsidRDefault="004263AD" w:rsidP="00AE3677">
            <w:r>
              <w:t xml:space="preserve">            77,73</w:t>
            </w:r>
          </w:p>
        </w:tc>
      </w:tr>
    </w:tbl>
    <w:p w:rsidR="004263AD" w:rsidRDefault="004263AD" w:rsidP="004263AD">
      <w:r>
        <w:t xml:space="preserve">          </w:t>
      </w:r>
    </w:p>
    <w:p w:rsidR="004263AD" w:rsidRDefault="004263AD" w:rsidP="004263AD">
      <w:r>
        <w:lastRenderedPageBreak/>
        <w:t xml:space="preserve">        </w:t>
      </w:r>
      <w:proofErr w:type="gramStart"/>
      <w:r w:rsidRPr="00A06021">
        <w:t>У неработающих пенсионеров общая сумма  получаемых выплат должна быть не ниже прожиточного минимума, установленного Законом Пермского края на 201</w:t>
      </w:r>
      <w:r>
        <w:t>7</w:t>
      </w:r>
      <w:r w:rsidRPr="00A06021">
        <w:t xml:space="preserve"> год в размере </w:t>
      </w:r>
      <w:r w:rsidRPr="00E2209D">
        <w:t>8473</w:t>
      </w:r>
      <w:r>
        <w:t xml:space="preserve"> </w:t>
      </w:r>
      <w:r w:rsidRPr="00A06021">
        <w:t xml:space="preserve"> руб. В связи с этим при увеличении  страховой пенсии</w:t>
      </w:r>
      <w:r>
        <w:t xml:space="preserve"> и ЕДВ </w:t>
      </w:r>
      <w:r w:rsidRPr="00A06021">
        <w:t xml:space="preserve"> </w:t>
      </w:r>
      <w:r>
        <w:t xml:space="preserve"> на 5,4% </w:t>
      </w:r>
      <w:r w:rsidRPr="00A06021">
        <w:t>с 1  февраля  201</w:t>
      </w:r>
      <w:r>
        <w:t xml:space="preserve">7 года </w:t>
      </w:r>
      <w:r w:rsidRPr="00A06021">
        <w:t xml:space="preserve">  итоговая сумма у получателей федеральной социальной доплаты может остаться без изменений в пределах  8</w:t>
      </w:r>
      <w:r>
        <w:t xml:space="preserve"> 473</w:t>
      </w:r>
      <w:r w:rsidRPr="00A06021">
        <w:t xml:space="preserve"> руб. </w:t>
      </w:r>
      <w:proofErr w:type="gramEnd"/>
    </w:p>
    <w:p w:rsidR="004263AD" w:rsidRDefault="004263AD" w:rsidP="004263AD">
      <w:r>
        <w:t xml:space="preserve">         В Пермском крае </w:t>
      </w:r>
      <w:r w:rsidRPr="00DD6F03">
        <w:rPr>
          <w:color w:val="000000"/>
        </w:rPr>
        <w:t>федеральн</w:t>
      </w:r>
      <w:r>
        <w:rPr>
          <w:color w:val="000000"/>
        </w:rPr>
        <w:t>ая</w:t>
      </w:r>
      <w:r w:rsidRPr="00DD6F03">
        <w:rPr>
          <w:color w:val="000000"/>
        </w:rPr>
        <w:t xml:space="preserve"> социальн</w:t>
      </w:r>
      <w:r>
        <w:rPr>
          <w:color w:val="000000"/>
        </w:rPr>
        <w:t>ая</w:t>
      </w:r>
      <w:r w:rsidRPr="00DD6F03">
        <w:rPr>
          <w:color w:val="000000"/>
        </w:rPr>
        <w:t xml:space="preserve"> доплат</w:t>
      </w:r>
      <w:r>
        <w:rPr>
          <w:color w:val="000000"/>
        </w:rPr>
        <w:t>а</w:t>
      </w:r>
      <w:r w:rsidRPr="00DD6F03">
        <w:rPr>
          <w:color w:val="000000"/>
        </w:rPr>
        <w:t xml:space="preserve"> к пенсии</w:t>
      </w:r>
      <w:r w:rsidRPr="00762DF4">
        <w:rPr>
          <w:color w:val="000000"/>
        </w:rPr>
        <w:t xml:space="preserve"> </w:t>
      </w:r>
      <w:r w:rsidRPr="00DD6F03">
        <w:rPr>
          <w:color w:val="000000"/>
        </w:rPr>
        <w:t>выплачивает</w:t>
      </w:r>
      <w:r>
        <w:rPr>
          <w:color w:val="000000"/>
        </w:rPr>
        <w:t>ся</w:t>
      </w:r>
      <w:r>
        <w:t xml:space="preserve"> более чем 88,8 тыс. неработающим пенсионерам. С 1 февраля 2017г. количество их  снизится.</w:t>
      </w:r>
    </w:p>
    <w:p w:rsidR="004263AD" w:rsidRDefault="004263AD" w:rsidP="004263AD">
      <w:pPr>
        <w:autoSpaceDE w:val="0"/>
        <w:autoSpaceDN w:val="0"/>
        <w:adjustRightInd w:val="0"/>
        <w:spacing w:before="60" w:after="60"/>
        <w:ind w:firstLine="567"/>
        <w:rPr>
          <w:color w:val="000000"/>
        </w:rPr>
      </w:pPr>
      <w:r>
        <w:rPr>
          <w:color w:val="000000"/>
        </w:rPr>
        <w:t>У пенсионеров, которые работали в 2016 году, страховые пенсии вырастут только в августе 2017 года. Максимальная прибавка – денежный эквивалент трех пенсионных баллов.</w:t>
      </w:r>
    </w:p>
    <w:p w:rsidR="004263AD" w:rsidRDefault="004263AD" w:rsidP="004263AD">
      <w:pPr>
        <w:tabs>
          <w:tab w:val="left" w:pos="1860"/>
        </w:tabs>
        <w:autoSpaceDE w:val="0"/>
        <w:autoSpaceDN w:val="0"/>
        <w:adjustRightInd w:val="0"/>
        <w:spacing w:after="0"/>
        <w:ind w:firstLine="567"/>
        <w:rPr>
          <w:color w:val="000000"/>
        </w:rPr>
      </w:pPr>
      <w:r>
        <w:rPr>
          <w:color w:val="000000"/>
        </w:rPr>
        <w:tab/>
      </w:r>
      <w:bookmarkStart w:id="0" w:name="_GoBack"/>
      <w:bookmarkEnd w:id="0"/>
    </w:p>
    <w:p w:rsidR="002C66B5" w:rsidRDefault="002C66B5"/>
    <w:sectPr w:rsidR="002C66B5" w:rsidSect="004B2A02">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489"/>
    <w:rsid w:val="002C66B5"/>
    <w:rsid w:val="004263AD"/>
    <w:rsid w:val="004B2A02"/>
    <w:rsid w:val="00F37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3AD"/>
    <w:pPr>
      <w:spacing w:after="120" w:line="240" w:lineRule="auto"/>
      <w:jc w:val="both"/>
    </w:pPr>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3AD"/>
    <w:pPr>
      <w:spacing w:after="120" w:line="240" w:lineRule="auto"/>
      <w:jc w:val="both"/>
    </w:pPr>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2600</Characters>
  <Application>Microsoft Office Word</Application>
  <DocSecurity>0</DocSecurity>
  <Lines>21</Lines>
  <Paragraphs>6</Paragraphs>
  <ScaleCrop>false</ScaleCrop>
  <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2</cp:revision>
  <dcterms:created xsi:type="dcterms:W3CDTF">2017-01-30T06:30:00Z</dcterms:created>
  <dcterms:modified xsi:type="dcterms:W3CDTF">2017-01-30T06:30:00Z</dcterms:modified>
</cp:coreProperties>
</file>