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Pr="00F95CB9" w:rsidRDefault="009D3A0A" w:rsidP="005053E1">
      <w:pPr>
        <w:spacing w:after="0" w:line="360" w:lineRule="exact"/>
        <w:jc w:val="center"/>
        <w:rPr>
          <w:rFonts w:ascii="Times New Roman" w:hAnsi="Times New Roman" w:cs="Times New Roman"/>
          <w:b/>
          <w:sz w:val="32"/>
          <w:szCs w:val="32"/>
        </w:rPr>
      </w:pPr>
      <w:bookmarkStart w:id="0" w:name="_GoBack"/>
      <w:bookmarkEnd w:id="0"/>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14:anchorId="33BC02D5" wp14:editId="4EC57BFF">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9"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firstRow="1" w:lastRow="1" w:firstColumn="1" w:lastColumn="1" w:noHBand="0" w:noVBand="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firstRow="1" w:lastRow="0" w:firstColumn="1" w:lastColumn="0" w:noHBand="0" w:noVBand="1"/>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руб</w:t>
      </w:r>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firstRow="1" w:lastRow="0" w:firstColumn="1" w:lastColumn="0" w:noHBand="0" w:noVBand="1"/>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firstRow="1" w:lastRow="0" w:firstColumn="1" w:lastColumn="0" w:noHBand="0" w:noVBand="1"/>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 докапитализация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 докапитализация региональной микрофинансовой организации до 297 млн. рублей. Тем самым увеличена возможность получения микрозаймов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Разработаны новые финансовые продукты для бизнеса: микрозайм «Партнерский», по которому группа предпринимателей может подать коллективную заявку на общую сумму до 21 млн. рублей и первая в России государственная микрозаемная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микрозайму «МСПплюс»,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А+.mfi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0"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1"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2"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3"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4"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5"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6"/>
          <w:footerReference w:type="default" r:id="rId17"/>
          <w:footerReference w:type="first" r:id="rId18"/>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 xml:space="preserve">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r w:rsidR="00873FA9">
        <w:rPr>
          <w:rFonts w:ascii="Times New Roman" w:eastAsia="Times New Roman" w:hAnsi="Times New Roman" w:cs="Times New Roman"/>
          <w:sz w:val="28"/>
          <w:szCs w:val="28"/>
        </w:rPr>
        <w:t>диагр</w:t>
      </w:r>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14:anchorId="6B9C3542" wp14:editId="62B41D9C">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(диагр.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14:anchorId="51FC2C14" wp14:editId="5233E6DD">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(диагр.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14:anchorId="1B95C756" wp14:editId="5C0CE40A">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(диагр.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14:anchorId="3E2AC6B0" wp14:editId="0A152322">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(диагр.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14:anchorId="60340DEA" wp14:editId="4806B049">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(диагр.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14:anchorId="74CAF213" wp14:editId="28B5B672">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(диагр.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14:anchorId="2E479D83" wp14:editId="0C7281A9">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(диагр.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14:anchorId="43AB1A7B" wp14:editId="1623B26F">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13. Ограничение/ сложность доступа к закупкам компаний с госучастием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14. Ограничение/ сложность доступа к поставкам товаров, оказанию услуг и выполнению работ в рамках госзакупок</w:t>
      </w:r>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(диагр.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14:anchorId="5072A1D1" wp14:editId="58B6A3F8">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(диагр.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14:anchorId="7053D255" wp14:editId="5AB909B4">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По информации Национального рейтингового агентства за 2015 год, регион находится в группе со средней инвестпривлекательностью</w:t>
      </w:r>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диагр.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услуг 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14:anchorId="73FE6538" wp14:editId="017E043E">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равления Федеральной антимонопольной службы по Пермскому краю А.В. Удальёв.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 xml:space="preserve">. </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при довольно стабильном количестве автозаправочных станций (далее - АЗС) на территории Пермского края в 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Показатель не мониторился</w:t>
            </w:r>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30"/>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В 2015 г.  создано 1266 дополнительных мест за счет развития вариативных форм дошкольного образования для детей от 1,5 до 7 лет в негосударственнм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B82C02">
              <w:rPr>
                <w:color w:val="FF0000"/>
              </w:rPr>
              <w:t xml:space="preserve"> </w:t>
            </w:r>
            <w:r w:rsidRPr="000022E8">
              <w:t>соста</w:t>
            </w:r>
            <w:r w:rsidR="000022E8" w:rsidRPr="000022E8">
              <w:t>вила</w:t>
            </w:r>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- 20.04. 2015 г. прошел вебинар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-19.06.2015 г. прошел семинар по теме: «Повышение конкурентоспособности и развитие сектора дошкольного образования» (законодательные и методические аспекты). В 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вебинаров,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Web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нормативно-подушевому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1" w:history="1">
              <w:r w:rsidRPr="009604FC">
                <w:t>Постановления</w:t>
              </w:r>
            </w:hyperlink>
            <w:r w:rsidRPr="009604FC">
              <w:t xml:space="preserve"> </w:t>
            </w:r>
            <w:r w:rsidRPr="001E1500">
              <w:t>Правительства 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Основная поддержка негосударственного сектора в виде объема субсидии - 198,1 тыс. руб,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Доля населения, имеющего возможность пользоваться услугами проводного или мобильного широкополосный доступ на скорости не менее 1 (один) Мбит/сек.</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2"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для сокращения количества разрешительных процедур при строительстве объектов связи обеспечено принятие Закона Пермского края 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firstRow="0" w:lastRow="0" w:firstColumn="0" w:lastColumn="0" w:noHBand="0" w:noVBand="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«Госзакупки».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млн.рублей.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14:anchorId="68E06E3B" wp14:editId="04F1C9E5">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DD7772" w:rsidRPr="00E807B4">
        <w:rPr>
          <w:noProof/>
        </w:rPr>
        <w:drawing>
          <wp:anchor distT="0" distB="0" distL="114300" distR="114300" simplePos="0" relativeHeight="251662848" behindDoc="0" locked="0" layoutInCell="1" allowOverlap="1" wp14:anchorId="76DE6206" wp14:editId="4C63646F">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14:anchorId="00BAC854" wp14:editId="18A3F72A">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54DC605" wp14:editId="73B2A942">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w:t>
      </w:r>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ресурсоснабжения).</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«Новогор-Прикамье»,</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ресурсоснабжающих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Добрянский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Очерский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Сивинский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Нытвенский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w:t>
      </w:r>
      <w:r w:rsidR="00B03DFA">
        <w:rPr>
          <w:rFonts w:ascii="Times New Roman" w:hAnsi="Times New Roman" w:cs="Times New Roman"/>
          <w:sz w:val="28"/>
          <w:szCs w:val="28"/>
        </w:rPr>
        <w:t>ернушинский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каря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0B" w:rsidRDefault="0004290B" w:rsidP="00A00006">
      <w:pPr>
        <w:spacing w:after="0" w:line="240" w:lineRule="auto"/>
      </w:pPr>
      <w:r>
        <w:separator/>
      </w:r>
    </w:p>
  </w:endnote>
  <w:endnote w:type="continuationSeparator" w:id="0">
    <w:p w:rsidR="0004290B" w:rsidRDefault="0004290B"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5210"/>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387C42">
          <w:rPr>
            <w:noProof/>
          </w:rPr>
          <w:t>21</w:t>
        </w:r>
        <w:r>
          <w:fldChar w:fldCharType="end"/>
        </w:r>
      </w:p>
    </w:sdtContent>
  </w:sdt>
  <w:p w:rsidR="00624C3A" w:rsidRDefault="00624C3A" w:rsidP="006A77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pPr>
      <w:pStyle w:val="ae"/>
      <w:jc w:val="center"/>
    </w:pPr>
  </w:p>
  <w:p w:rsidR="00624C3A" w:rsidRDefault="00624C3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93102"/>
      <w:docPartObj>
        <w:docPartGallery w:val="Page Numbers (Bottom of Page)"/>
        <w:docPartUnique/>
      </w:docPartObj>
    </w:sdtPr>
    <w:sdtEndPr/>
    <w:sdtContent>
      <w:p w:rsidR="00624C3A" w:rsidRDefault="00624C3A">
        <w:pPr>
          <w:pStyle w:val="ae"/>
          <w:jc w:val="center"/>
        </w:pPr>
        <w:r>
          <w:fldChar w:fldCharType="begin"/>
        </w:r>
        <w:r>
          <w:instrText>PAGE   \* MERGEFORMAT</w:instrText>
        </w:r>
        <w:r>
          <w:fldChar w:fldCharType="separate"/>
        </w:r>
        <w:r w:rsidR="00652F14">
          <w:rPr>
            <w:noProof/>
          </w:rPr>
          <w:t>60</w:t>
        </w:r>
        <w:r>
          <w:fldChar w:fldCharType="end"/>
        </w:r>
      </w:p>
    </w:sdtContent>
  </w:sdt>
  <w:p w:rsidR="00624C3A" w:rsidRDefault="00624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0B" w:rsidRDefault="0004290B" w:rsidP="00A00006">
      <w:pPr>
        <w:spacing w:after="0" w:line="240" w:lineRule="auto"/>
      </w:pPr>
      <w:r>
        <w:separator/>
      </w:r>
    </w:p>
  </w:footnote>
  <w:footnote w:type="continuationSeparator" w:id="0">
    <w:p w:rsidR="0004290B" w:rsidRDefault="0004290B"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r w:rsidRPr="00E5434E">
        <w:rPr>
          <w:rFonts w:ascii="Times New Roman" w:hAnsi="Times New Roman" w:cs="Times New Roman"/>
          <w:lang w:val="en-US"/>
        </w:rPr>
        <w:t>nalog</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rn</w:t>
      </w:r>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r w:rsidRPr="00E5434E">
        <w:rPr>
          <w:rFonts w:ascii="Times New Roman" w:hAnsi="Times New Roman" w:cs="Times New Roman"/>
          <w:lang w:val="en-US"/>
        </w:rPr>
        <w:t>regstats</w:t>
      </w:r>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rPr>
        <w:t>http://permstat.gks.ru/wps/wcm/connect/rosstat_ts/permstat/ru/publications/official_publications/electronic_ versions/</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Пермьстата http://permstat.gks.ru/wps/wcm/connect/rosstat_ts/permstat/ru/publications/official_publications/electronic_ versions/</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По данным Пермьстата http://permstat.gks.ru/wps/wcm/connect/rosstat_ts/permstat/ru/publications/official_publications/electronic_ versions/</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http://permstat.gks.ru/wps/wcm/connect/rosstat_ts/permstat/ru/publications/official_publications/electronic_ versions/</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r w:rsidRPr="00DF45F8">
        <w:rPr>
          <w:rFonts w:ascii="Times New Roman" w:hAnsi="Times New Roman" w:cs="Times New Roman"/>
          <w:lang w:val="en-US"/>
        </w:rPr>
        <w:t>asi</w:t>
      </w:r>
      <w:r w:rsidRPr="00DF45F8">
        <w:rPr>
          <w:rFonts w:ascii="Times New Roman" w:hAnsi="Times New Roman" w:cs="Times New Roman"/>
        </w:rPr>
        <w:t>.</w:t>
      </w:r>
      <w:r w:rsidRPr="00DF45F8">
        <w:rPr>
          <w:rFonts w:ascii="Times New Roman" w:hAnsi="Times New Roman" w:cs="Times New Roman"/>
          <w:lang w:val="en-US"/>
        </w:rPr>
        <w:t>ru</w:t>
      </w:r>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r w:rsidRPr="00DF45F8">
        <w:rPr>
          <w:rFonts w:ascii="Times New Roman" w:hAnsi="Times New Roman" w:cs="Times New Roman"/>
          <w:lang w:val="en-US"/>
        </w:rPr>
        <w:t>iblock</w:t>
      </w:r>
      <w:r w:rsidRPr="00DF45F8">
        <w:rPr>
          <w:rFonts w:ascii="Times New Roman" w:hAnsi="Times New Roman" w:cs="Times New Roman"/>
        </w:rPr>
        <w:t>/411/</w:t>
      </w:r>
      <w:r w:rsidRPr="00DF45F8">
        <w:rPr>
          <w:rFonts w:ascii="Times New Roman" w:hAnsi="Times New Roman" w:cs="Times New Roman"/>
          <w:lang w:val="en-US"/>
        </w:rPr>
        <w:t>BestPractice</w:t>
      </w:r>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3A" w:rsidRDefault="00624C3A" w:rsidP="006D5344">
    <w:pPr>
      <w:pStyle w:val="ac"/>
      <w:tabs>
        <w:tab w:val="clear" w:pos="4677"/>
        <w:tab w:val="clear" w:pos="9355"/>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1E"/>
    <w:rsid w:val="00001EC6"/>
    <w:rsid w:val="00001F7D"/>
    <w:rsid w:val="000022E8"/>
    <w:rsid w:val="0001332B"/>
    <w:rsid w:val="00014536"/>
    <w:rsid w:val="00041020"/>
    <w:rsid w:val="0004290B"/>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87C42"/>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B56DF6095F61965E26E8CB3B36A41CA66DE6511081E7352950E269DC0426A654AB06E26BC23843CDD049u4Y3F" TargetMode="External"/><Relationship Id="rId18" Type="http://schemas.openxmlformats.org/officeDocument/2006/relationships/footer" Target="footer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chart" Target="charts/chart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D4239FEC6DA7502AACC662FDAF9C52578BB37ED865986755218E89C4D6FB0B5E0F8D59DFAE905EAB521ECY2F" TargetMode="External"/><Relationship Id="rId24" Type="http://schemas.openxmlformats.org/officeDocument/2006/relationships/chart" Target="charts/chart6.xml"/><Relationship Id="rId32" Type="http://schemas.openxmlformats.org/officeDocument/2006/relationships/hyperlink" Target="consultantplus://offline/ref=F7F7510DAE8AC44F5508F7A8639520E012CAA10344A7FE72236F8788D5D1B88641DBFD5B3AD62B7C8FU7hB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chart" Target="charts/chart5.xml"/><Relationship Id="rId28" Type="http://schemas.openxmlformats.org/officeDocument/2006/relationships/image" Target="media/image3.png"/><Relationship Id="rId36" Type="http://schemas.openxmlformats.org/officeDocument/2006/relationships/chart" Target="charts/chart13.xml"/><Relationship Id="rId10" Type="http://schemas.openxmlformats.org/officeDocument/2006/relationships/hyperlink" Target="consultantplus://offline/ref=228D4239FEC6DA7502AACC662FDAF9C52578BB37ED865986755218E89C4D6FB0B5E0F8D59DFAE905EAB525ECY2F" TargetMode="External"/><Relationship Id="rId19" Type="http://schemas.openxmlformats.org/officeDocument/2006/relationships/chart" Target="charts/chart1.xml"/><Relationship Id="rId31" Type="http://schemas.openxmlformats.org/officeDocument/2006/relationships/hyperlink" Target="consultantplus://offline/ref=F7F7510DAE8AC44F5508F7A8639520E012CAA1034BA0FF70216F8788D5D1B886U4h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1B56DF6095F61965E26E8CB3B36A41CA66DE6511081E7352950E269DC0426A654AB06E26BC23843CDD048u4YCF" TargetMode="External"/><Relationship Id="rId22" Type="http://schemas.openxmlformats.org/officeDocument/2006/relationships/chart" Target="charts/chart4.xm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уд.качеством!$C$1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27.868852459016392</c:v>
                </c:pt>
                <c:pt idx="2">
                  <c:v>50.819672131147541</c:v>
                </c:pt>
                <c:pt idx="3">
                  <c:v>13.114754098360656</c:v>
                </c:pt>
                <c:pt idx="4">
                  <c:v>8.1967213114754092</c:v>
                </c:pt>
                <c:pt idx="5">
                  <c:v>26.229508196721312</c:v>
                </c:pt>
                <c:pt idx="6">
                  <c:v>67.213114754098356</c:v>
                </c:pt>
                <c:pt idx="7">
                  <c:v>80.327868852459019</c:v>
                </c:pt>
                <c:pt idx="8">
                  <c:v>70.491803278688522</c:v>
                </c:pt>
                <c:pt idx="9">
                  <c:v>68.852459016393439</c:v>
                </c:pt>
                <c:pt idx="10">
                  <c:v>31.147540983606557</c:v>
                </c:pt>
                <c:pt idx="11">
                  <c:v>52.459016393442624</c:v>
                </c:pt>
                <c:pt idx="12">
                  <c:v>32.786885245901637</c:v>
                </c:pt>
                <c:pt idx="13">
                  <c:v>39.344262295081968</c:v>
                </c:pt>
              </c:numCache>
            </c:numRef>
          </c:val>
        </c:ser>
        <c:ser>
          <c:idx val="1"/>
          <c:order val="1"/>
          <c:tx>
            <c:strRef>
              <c:f>уд.качеством!$D$1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11.475409836065573</c:v>
                </c:pt>
                <c:pt idx="1">
                  <c:v>27.868852459016392</c:v>
                </c:pt>
                <c:pt idx="2">
                  <c:v>14.754098360655737</c:v>
                </c:pt>
                <c:pt idx="3">
                  <c:v>78.688524590163937</c:v>
                </c:pt>
                <c:pt idx="4">
                  <c:v>19.672131147540984</c:v>
                </c:pt>
                <c:pt idx="5">
                  <c:v>72.131147540983605</c:v>
                </c:pt>
                <c:pt idx="6">
                  <c:v>31.147540983606557</c:v>
                </c:pt>
                <c:pt idx="7">
                  <c:v>13.114754098360656</c:v>
                </c:pt>
                <c:pt idx="8">
                  <c:v>19.672131147540984</c:v>
                </c:pt>
                <c:pt idx="9">
                  <c:v>26.229508196721312</c:v>
                </c:pt>
                <c:pt idx="10">
                  <c:v>16.393442622950818</c:v>
                </c:pt>
                <c:pt idx="11">
                  <c:v>22.950819672131146</c:v>
                </c:pt>
                <c:pt idx="12">
                  <c:v>11.475409836065573</c:v>
                </c:pt>
                <c:pt idx="13">
                  <c:v>39.344262295081968</c:v>
                </c:pt>
              </c:numCache>
            </c:numRef>
          </c:val>
        </c:ser>
        <c:ser>
          <c:idx val="2"/>
          <c:order val="2"/>
          <c:tx>
            <c:strRef>
              <c:f>уд.качеством!$E$1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40.983606557377051</c:v>
                </c:pt>
                <c:pt idx="1">
                  <c:v>44.26229508196721</c:v>
                </c:pt>
                <c:pt idx="2">
                  <c:v>34.42622950819672</c:v>
                </c:pt>
                <c:pt idx="3">
                  <c:v>8.1967213114754092</c:v>
                </c:pt>
                <c:pt idx="4">
                  <c:v>72.131147540983605</c:v>
                </c:pt>
                <c:pt idx="5">
                  <c:v>1.639344262295082</c:v>
                </c:pt>
                <c:pt idx="6">
                  <c:v>1.639344262295082</c:v>
                </c:pt>
                <c:pt idx="7">
                  <c:v>6.557377049180328</c:v>
                </c:pt>
                <c:pt idx="8">
                  <c:v>9.8360655737704921</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107644032"/>
        <c:axId val="107645568"/>
      </c:barChart>
      <c:catAx>
        <c:axId val="107644032"/>
        <c:scaling>
          <c:orientation val="minMax"/>
        </c:scaling>
        <c:delete val="0"/>
        <c:axPos val="b"/>
        <c:numFmt formatCode="General" sourceLinked="1"/>
        <c:majorTickMark val="out"/>
        <c:minorTickMark val="none"/>
        <c:tickLblPos val="nextTo"/>
        <c:crossAx val="107645568"/>
        <c:crosses val="autoZero"/>
        <c:auto val="1"/>
        <c:lblAlgn val="ctr"/>
        <c:lblOffset val="100"/>
        <c:noMultiLvlLbl val="0"/>
      </c:catAx>
      <c:valAx>
        <c:axId val="107645568"/>
        <c:scaling>
          <c:orientation val="minMax"/>
        </c:scaling>
        <c:delete val="0"/>
        <c:axPos val="l"/>
        <c:majorGridlines/>
        <c:numFmt formatCode="0" sourceLinked="1"/>
        <c:majorTickMark val="out"/>
        <c:minorTickMark val="none"/>
        <c:tickLblPos val="nextTo"/>
        <c:crossAx val="107644032"/>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14E-2"/>
        </c:manualLayout>
      </c:layout>
      <c:overlay val="0"/>
    </c:title>
    <c:autoTitleDeleted val="0"/>
    <c:plotArea>
      <c:layout>
        <c:manualLayout>
          <c:layoutTarget val="inner"/>
          <c:xMode val="edge"/>
          <c:yMode val="edge"/>
          <c:x val="0.18116666666666667"/>
          <c:y val="0.3159244713575422"/>
          <c:w val="0.65442067433878459"/>
          <c:h val="0.51842949455879417"/>
        </c:manualLayout>
      </c:layout>
      <c:barChart>
        <c:barDir val="col"/>
        <c:grouping val="clustered"/>
        <c:varyColors val="0"/>
        <c:ser>
          <c:idx val="0"/>
          <c:order val="0"/>
          <c:tx>
            <c:strRef>
              <c:f>Лист1!$B$1</c:f>
              <c:strCache>
                <c:ptCount val="1"/>
                <c:pt idx="0">
                  <c:v>Столбец2</c:v>
                </c:pt>
              </c:strCache>
            </c:strRef>
          </c:tx>
          <c:invertIfNegative val="0"/>
          <c:dPt>
            <c:idx val="1"/>
            <c:invertIfNegative val="0"/>
            <c:bubble3D val="0"/>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LegendKey val="0"/>
          <c:showVal val="1"/>
          <c:showCatName val="0"/>
          <c:showSerName val="0"/>
          <c:showPercent val="0"/>
          <c:showBubbleSize val="0"/>
        </c:dLbls>
        <c:gapWidth val="150"/>
        <c:overlap val="-25"/>
        <c:axId val="107485440"/>
        <c:axId val="107517440"/>
      </c:barChart>
      <c:catAx>
        <c:axId val="107485440"/>
        <c:scaling>
          <c:orientation val="minMax"/>
        </c:scaling>
        <c:delete val="0"/>
        <c:axPos val="b"/>
        <c:numFmt formatCode="General" sourceLinked="1"/>
        <c:majorTickMark val="none"/>
        <c:min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07517440"/>
        <c:crosses val="autoZero"/>
        <c:auto val="1"/>
        <c:lblAlgn val="ctr"/>
        <c:lblOffset val="100"/>
        <c:noMultiLvlLbl val="0"/>
      </c:catAx>
      <c:valAx>
        <c:axId val="107517440"/>
        <c:scaling>
          <c:orientation val="minMax"/>
        </c:scaling>
        <c:delete val="1"/>
        <c:axPos val="l"/>
        <c:numFmt formatCode="General" sourceLinked="1"/>
        <c:majorTickMark val="out"/>
        <c:minorTickMark val="none"/>
        <c:tickLblPos val="nextTo"/>
        <c:crossAx val="10748544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786E-2"/>
          <c:y val="1.7252026543365127E-2"/>
        </c:manualLayout>
      </c:layout>
      <c:overlay val="0"/>
    </c:title>
    <c:autoTitleDeleted val="0"/>
    <c:plotArea>
      <c:layout>
        <c:manualLayout>
          <c:layoutTarget val="inner"/>
          <c:xMode val="edge"/>
          <c:yMode val="edge"/>
          <c:x val="1.3944653299916452E-2"/>
          <c:y val="0.30057294798133899"/>
          <c:w val="0.90716374269005851"/>
          <c:h val="0.44533272093080167"/>
        </c:manualLayout>
      </c:layout>
      <c:barChart>
        <c:barDir val="col"/>
        <c:grouping val="clustered"/>
        <c:varyColors val="0"/>
        <c:ser>
          <c:idx val="0"/>
          <c:order val="0"/>
          <c:tx>
            <c:strRef>
              <c:f>Лист1!$B$1</c:f>
              <c:strCache>
                <c:ptCount val="1"/>
                <c:pt idx="0">
                  <c:v>2014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LegendKey val="0"/>
          <c:showVal val="1"/>
          <c:showCatName val="0"/>
          <c:showSerName val="0"/>
          <c:showPercent val="0"/>
          <c:showBubbleSize val="0"/>
        </c:dLbls>
        <c:gapWidth val="150"/>
        <c:overlap val="-25"/>
        <c:axId val="122354304"/>
        <c:axId val="122970496"/>
      </c:barChart>
      <c:catAx>
        <c:axId val="122354304"/>
        <c:scaling>
          <c:orientation val="minMax"/>
        </c:scaling>
        <c:delete val="0"/>
        <c:axPos val="b"/>
        <c:numFmt formatCode="General" sourceLinked="0"/>
        <c:majorTickMark val="none"/>
        <c:minorTickMark val="none"/>
        <c:tickLblPos val="nextTo"/>
        <c:txPr>
          <a:bodyPr/>
          <a:lstStyle/>
          <a:p>
            <a:pPr>
              <a:defRPr b="0"/>
            </a:pPr>
            <a:endParaRPr lang="ru-RU"/>
          </a:p>
        </c:txPr>
        <c:crossAx val="122970496"/>
        <c:crosses val="autoZero"/>
        <c:auto val="1"/>
        <c:lblAlgn val="ctr"/>
        <c:lblOffset val="100"/>
        <c:noMultiLvlLbl val="0"/>
      </c:catAx>
      <c:valAx>
        <c:axId val="122970496"/>
        <c:scaling>
          <c:orientation val="minMax"/>
          <c:max val="20000"/>
        </c:scaling>
        <c:delete val="1"/>
        <c:axPos val="l"/>
        <c:numFmt formatCode="#,##0.0" sourceLinked="1"/>
        <c:majorTickMark val="none"/>
        <c:minorTickMark val="none"/>
        <c:tickLblPos val="nextTo"/>
        <c:crossAx val="122354304"/>
        <c:crosses val="autoZero"/>
        <c:crossBetween val="between"/>
        <c:majorUnit val="5000"/>
      </c:valAx>
    </c:plotArea>
    <c:legend>
      <c:legendPos val="r"/>
      <c:layout>
        <c:manualLayout>
          <c:xMode val="edge"/>
          <c:yMode val="edge"/>
          <c:x val="0.83811665406903502"/>
          <c:y val="0.37734060435847383"/>
          <c:w val="0.16188346456692915"/>
          <c:h val="0.23294188497440529"/>
        </c:manualLayout>
      </c:layout>
      <c:overlay val="0"/>
      <c:txPr>
        <a:bodyPr/>
        <a:lstStyle/>
        <a:p>
          <a:pPr>
            <a:defRPr b="1"/>
          </a:pPr>
          <a:endParaRPr lang="ru-RU"/>
        </a:p>
      </c:txPr>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397"/>
          <c:y val="4.5944229819494106E-3"/>
        </c:manualLayout>
      </c:layout>
      <c:overlay val="0"/>
    </c:title>
    <c:autoTitleDeleted val="0"/>
    <c:plotArea>
      <c:layout>
        <c:manualLayout>
          <c:layoutTarget val="inner"/>
          <c:xMode val="edge"/>
          <c:yMode val="edge"/>
          <c:x val="0.13064876601126862"/>
          <c:y val="0.33938813668358347"/>
          <c:w val="0.74739892237324623"/>
          <c:h val="0.57280586582195625"/>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dLbl>
              <c:idx val="0"/>
              <c:tx>
                <c:rich>
                  <a:bodyPr/>
                  <a:lstStyle/>
                  <a:p>
                    <a:r>
                      <a:rPr lang="en-US"/>
                      <a:t>1 942,7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LegendKey val="0"/>
          <c:showVal val="1"/>
          <c:showCatName val="0"/>
          <c:showSerName val="0"/>
          <c:showPercent val="0"/>
          <c:showBubbleSize val="0"/>
        </c:dLbls>
        <c:gapWidth val="150"/>
        <c:overlap val="-25"/>
        <c:axId val="123161600"/>
        <c:axId val="122984704"/>
      </c:barChart>
      <c:catAx>
        <c:axId val="123161600"/>
        <c:scaling>
          <c:orientation val="minMax"/>
        </c:scaling>
        <c:delete val="0"/>
        <c:axPos val="b"/>
        <c:numFmt formatCode="General" sourceLinked="1"/>
        <c:majorTickMark val="none"/>
        <c:minorTickMark val="none"/>
        <c:tickLblPos val="nextTo"/>
        <c:txPr>
          <a:bodyPr/>
          <a:lstStyle/>
          <a:p>
            <a:pPr>
              <a:defRPr b="1"/>
            </a:pPr>
            <a:endParaRPr lang="ru-RU"/>
          </a:p>
        </c:txPr>
        <c:crossAx val="122984704"/>
        <c:crosses val="autoZero"/>
        <c:auto val="1"/>
        <c:lblAlgn val="ctr"/>
        <c:lblOffset val="100"/>
        <c:noMultiLvlLbl val="0"/>
      </c:catAx>
      <c:valAx>
        <c:axId val="122984704"/>
        <c:scaling>
          <c:orientation val="minMax"/>
        </c:scaling>
        <c:delete val="1"/>
        <c:axPos val="l"/>
        <c:numFmt formatCode="General" sourceLinked="1"/>
        <c:majorTickMark val="none"/>
        <c:minorTickMark val="none"/>
        <c:tickLblPos val="nextTo"/>
        <c:crossAx val="123161600"/>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overlay val="0"/>
    </c:title>
    <c:autoTitleDeleted val="0"/>
    <c:plotArea>
      <c:layout>
        <c:manualLayout>
          <c:layoutTarget val="inner"/>
          <c:xMode val="edge"/>
          <c:yMode val="edge"/>
          <c:x val="0.13064889143730887"/>
          <c:y val="0.3413302891041966"/>
          <c:w val="0.74256551169123242"/>
          <c:h val="0.56097961732478607"/>
        </c:manualLayout>
      </c:layout>
      <c:barChart>
        <c:barDir val="col"/>
        <c:grouping val="clustered"/>
        <c:varyColors val="0"/>
        <c:ser>
          <c:idx val="0"/>
          <c:order val="0"/>
          <c:tx>
            <c:strRef>
              <c:f>Лист1!$B$1</c:f>
              <c:strCache>
                <c:ptCount val="1"/>
                <c:pt idx="0">
                  <c:v>Столбец1</c:v>
                </c:pt>
              </c:strCache>
            </c:strRef>
          </c:tx>
          <c:invertIfNegative val="0"/>
          <c:dPt>
            <c:idx val="1"/>
            <c:invertIfNegative val="0"/>
            <c:bubble3D val="0"/>
            <c:spPr>
              <a:solidFill>
                <a:schemeClr val="accent2"/>
              </a:solidFill>
            </c:spPr>
          </c:dPt>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LegendKey val="0"/>
          <c:showVal val="1"/>
          <c:showCatName val="0"/>
          <c:showSerName val="0"/>
          <c:showPercent val="0"/>
          <c:showBubbleSize val="0"/>
        </c:dLbls>
        <c:gapWidth val="150"/>
        <c:overlap val="-25"/>
        <c:axId val="124696064"/>
        <c:axId val="124699392"/>
      </c:barChart>
      <c:catAx>
        <c:axId val="124696064"/>
        <c:scaling>
          <c:orientation val="minMax"/>
        </c:scaling>
        <c:delete val="0"/>
        <c:axPos val="b"/>
        <c:numFmt formatCode="General" sourceLinked="1"/>
        <c:majorTickMark val="none"/>
        <c:minorTickMark val="none"/>
        <c:tickLblPos val="nextTo"/>
        <c:txPr>
          <a:bodyPr/>
          <a:lstStyle/>
          <a:p>
            <a:pPr>
              <a:defRPr b="1"/>
            </a:pPr>
            <a:endParaRPr lang="ru-RU"/>
          </a:p>
        </c:txPr>
        <c:crossAx val="124699392"/>
        <c:crosses val="autoZero"/>
        <c:auto val="1"/>
        <c:lblAlgn val="ctr"/>
        <c:lblOffset val="100"/>
        <c:noMultiLvlLbl val="0"/>
      </c:catAx>
      <c:valAx>
        <c:axId val="124699392"/>
        <c:scaling>
          <c:orientation val="minMax"/>
        </c:scaling>
        <c:delete val="1"/>
        <c:axPos val="l"/>
        <c:numFmt formatCode="General" sourceLinked="1"/>
        <c:majorTickMark val="none"/>
        <c:minorTickMark val="none"/>
        <c:tickLblPos val="nextTo"/>
        <c:crossAx val="124696064"/>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уд.цен!$C$1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37.704918032786885</c:v>
                </c:pt>
                <c:pt idx="1">
                  <c:v>21.311475409836063</c:v>
                </c:pt>
                <c:pt idx="2">
                  <c:v>36.065573770491802</c:v>
                </c:pt>
                <c:pt idx="3">
                  <c:v>14.754098360655737</c:v>
                </c:pt>
                <c:pt idx="4">
                  <c:v>9.8360655737704921</c:v>
                </c:pt>
                <c:pt idx="5">
                  <c:v>19.672131147540984</c:v>
                </c:pt>
                <c:pt idx="6">
                  <c:v>50.819672131147541</c:v>
                </c:pt>
                <c:pt idx="7">
                  <c:v>39.344262295081968</c:v>
                </c:pt>
                <c:pt idx="8">
                  <c:v>63.934426229508205</c:v>
                </c:pt>
                <c:pt idx="9">
                  <c:v>68.852459016393439</c:v>
                </c:pt>
                <c:pt idx="10">
                  <c:v>31.147540983606557</c:v>
                </c:pt>
                <c:pt idx="11">
                  <c:v>52.459016393442624</c:v>
                </c:pt>
                <c:pt idx="12">
                  <c:v>32.786885245901637</c:v>
                </c:pt>
                <c:pt idx="13">
                  <c:v>39.344262295081968</c:v>
                </c:pt>
              </c:numCache>
            </c:numRef>
          </c:val>
        </c:ser>
        <c:ser>
          <c:idx val="1"/>
          <c:order val="1"/>
          <c:tx>
            <c:strRef>
              <c:f>уд.цен!$D$1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14.754098360655737</c:v>
                </c:pt>
                <c:pt idx="1">
                  <c:v>36.065573770491802</c:v>
                </c:pt>
                <c:pt idx="2">
                  <c:v>22.950819672131146</c:v>
                </c:pt>
                <c:pt idx="3">
                  <c:v>70.491803278688522</c:v>
                </c:pt>
                <c:pt idx="4">
                  <c:v>19.672131147540984</c:v>
                </c:pt>
                <c:pt idx="5">
                  <c:v>77.049180327868854</c:v>
                </c:pt>
                <c:pt idx="6">
                  <c:v>47.540983606557376</c:v>
                </c:pt>
                <c:pt idx="7">
                  <c:v>55.737704918032783</c:v>
                </c:pt>
                <c:pt idx="8">
                  <c:v>21.311475409836063</c:v>
                </c:pt>
                <c:pt idx="9">
                  <c:v>26.229508196721312</c:v>
                </c:pt>
                <c:pt idx="10">
                  <c:v>16.393442622950818</c:v>
                </c:pt>
                <c:pt idx="11">
                  <c:v>22.950819672131146</c:v>
                </c:pt>
                <c:pt idx="12">
                  <c:v>11.475409836065573</c:v>
                </c:pt>
                <c:pt idx="13">
                  <c:v>39.344262295081968</c:v>
                </c:pt>
              </c:numCache>
            </c:numRef>
          </c:val>
        </c:ser>
        <c:ser>
          <c:idx val="2"/>
          <c:order val="2"/>
          <c:tx>
            <c:strRef>
              <c:f>уд.цен!$E$1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42.622950819672127</c:v>
                </c:pt>
                <c:pt idx="2">
                  <c:v>40.983606557377051</c:v>
                </c:pt>
                <c:pt idx="3">
                  <c:v>14.754098360655737</c:v>
                </c:pt>
                <c:pt idx="4">
                  <c:v>70.491803278688522</c:v>
                </c:pt>
                <c:pt idx="5">
                  <c:v>3.278688524590164</c:v>
                </c:pt>
                <c:pt idx="6">
                  <c:v>1.639344262295082</c:v>
                </c:pt>
                <c:pt idx="7">
                  <c:v>4.918032786885246</c:v>
                </c:pt>
                <c:pt idx="8">
                  <c:v>14.754098360655737</c:v>
                </c:pt>
                <c:pt idx="9">
                  <c:v>4.918032786885246</c:v>
                </c:pt>
                <c:pt idx="10">
                  <c:v>52.459016393442624</c:v>
                </c:pt>
                <c:pt idx="11">
                  <c:v>24.590163934426229</c:v>
                </c:pt>
                <c:pt idx="12">
                  <c:v>55.737704918032783</c:v>
                </c:pt>
                <c:pt idx="13">
                  <c:v>21.311475409836063</c:v>
                </c:pt>
              </c:numCache>
            </c:numRef>
          </c:val>
        </c:ser>
        <c:dLbls>
          <c:showLegendKey val="0"/>
          <c:showVal val="0"/>
          <c:showCatName val="0"/>
          <c:showSerName val="0"/>
          <c:showPercent val="0"/>
          <c:showBubbleSize val="0"/>
        </c:dLbls>
        <c:gapWidth val="150"/>
        <c:axId val="122107008"/>
        <c:axId val="122108544"/>
      </c:barChart>
      <c:catAx>
        <c:axId val="122107008"/>
        <c:scaling>
          <c:orientation val="minMax"/>
        </c:scaling>
        <c:delete val="0"/>
        <c:axPos val="b"/>
        <c:numFmt formatCode="General" sourceLinked="1"/>
        <c:majorTickMark val="out"/>
        <c:minorTickMark val="none"/>
        <c:tickLblPos val="nextTo"/>
        <c:crossAx val="122108544"/>
        <c:crosses val="autoZero"/>
        <c:auto val="1"/>
        <c:lblAlgn val="ctr"/>
        <c:lblOffset val="100"/>
        <c:noMultiLvlLbl val="0"/>
      </c:catAx>
      <c:valAx>
        <c:axId val="122108544"/>
        <c:scaling>
          <c:orientation val="minMax"/>
        </c:scaling>
        <c:delete val="0"/>
        <c:axPos val="l"/>
        <c:majorGridlines/>
        <c:numFmt formatCode="0" sourceLinked="1"/>
        <c:majorTickMark val="out"/>
        <c:minorTickMark val="none"/>
        <c:tickLblPos val="nextTo"/>
        <c:crossAx val="122107008"/>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уд.выбором!$C$1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50.819672131147541</c:v>
                </c:pt>
                <c:pt idx="1">
                  <c:v>16.393442622950818</c:v>
                </c:pt>
                <c:pt idx="2">
                  <c:v>49.180327868852459</c:v>
                </c:pt>
                <c:pt idx="3">
                  <c:v>14.754098360655737</c:v>
                </c:pt>
                <c:pt idx="4">
                  <c:v>14.754098360655737</c:v>
                </c:pt>
                <c:pt idx="5">
                  <c:v>22.950819672131146</c:v>
                </c:pt>
                <c:pt idx="6">
                  <c:v>75.409836065573771</c:v>
                </c:pt>
                <c:pt idx="7">
                  <c:v>81.967213114754102</c:v>
                </c:pt>
                <c:pt idx="8">
                  <c:v>55.737704918032783</c:v>
                </c:pt>
                <c:pt idx="9">
                  <c:v>68.852459016393439</c:v>
                </c:pt>
                <c:pt idx="10">
                  <c:v>27.868852459016392</c:v>
                </c:pt>
                <c:pt idx="11">
                  <c:v>42.622950819672127</c:v>
                </c:pt>
                <c:pt idx="12">
                  <c:v>27.868852459016392</c:v>
                </c:pt>
                <c:pt idx="13">
                  <c:v>39.344262295081968</c:v>
                </c:pt>
              </c:numCache>
            </c:numRef>
          </c:val>
        </c:ser>
        <c:ser>
          <c:idx val="1"/>
          <c:order val="1"/>
          <c:tx>
            <c:strRef>
              <c:f>уд.выбором!$D$1</c:f>
              <c:strCache>
                <c:ptCount val="1"/>
                <c:pt idx="0">
                  <c:v>Не удовлетворен</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21.311475409836063</c:v>
                </c:pt>
                <c:pt idx="1">
                  <c:v>44.26229508196721</c:v>
                </c:pt>
                <c:pt idx="2">
                  <c:v>26.229508196721312</c:v>
                </c:pt>
                <c:pt idx="3">
                  <c:v>80.327868852459019</c:v>
                </c:pt>
                <c:pt idx="4">
                  <c:v>18.032786885245901</c:v>
                </c:pt>
                <c:pt idx="5">
                  <c:v>63.934426229508205</c:v>
                </c:pt>
                <c:pt idx="6">
                  <c:v>19.672131147540984</c:v>
                </c:pt>
                <c:pt idx="7">
                  <c:v>9.8360655737704921</c:v>
                </c:pt>
                <c:pt idx="8">
                  <c:v>27.868852459016392</c:v>
                </c:pt>
                <c:pt idx="9">
                  <c:v>22.950819672131146</c:v>
                </c:pt>
                <c:pt idx="10">
                  <c:v>14.754098360655737</c:v>
                </c:pt>
                <c:pt idx="11">
                  <c:v>26.229508196721312</c:v>
                </c:pt>
                <c:pt idx="12">
                  <c:v>13.114754098360656</c:v>
                </c:pt>
                <c:pt idx="13">
                  <c:v>39.344262295081968</c:v>
                </c:pt>
              </c:numCache>
            </c:numRef>
          </c:val>
        </c:ser>
        <c:ser>
          <c:idx val="2"/>
          <c:order val="2"/>
          <c:tx>
            <c:strRef>
              <c:f>уд.выбором!$E$1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27.868852459016392</c:v>
                </c:pt>
                <c:pt idx="1">
                  <c:v>39.344262295081968</c:v>
                </c:pt>
                <c:pt idx="2">
                  <c:v>24.590163934426229</c:v>
                </c:pt>
                <c:pt idx="3">
                  <c:v>4.918032786885246</c:v>
                </c:pt>
                <c:pt idx="4">
                  <c:v>67.213114754098356</c:v>
                </c:pt>
                <c:pt idx="5">
                  <c:v>13.114754098360656</c:v>
                </c:pt>
                <c:pt idx="6">
                  <c:v>4.918032786885246</c:v>
                </c:pt>
                <c:pt idx="7">
                  <c:v>8.1967213114754092</c:v>
                </c:pt>
                <c:pt idx="8">
                  <c:v>16.393442622950818</c:v>
                </c:pt>
                <c:pt idx="9">
                  <c:v>8.1967213114754092</c:v>
                </c:pt>
                <c:pt idx="10">
                  <c:v>57.377049180327866</c:v>
                </c:pt>
                <c:pt idx="11">
                  <c:v>31.147540983606557</c:v>
                </c:pt>
                <c:pt idx="12">
                  <c:v>59.016393442622949</c:v>
                </c:pt>
                <c:pt idx="13">
                  <c:v>21.311475409836063</c:v>
                </c:pt>
              </c:numCache>
            </c:numRef>
          </c:val>
        </c:ser>
        <c:dLbls>
          <c:showLegendKey val="0"/>
          <c:showVal val="0"/>
          <c:showCatName val="0"/>
          <c:showSerName val="0"/>
          <c:showPercent val="0"/>
          <c:showBubbleSize val="0"/>
        </c:dLbls>
        <c:gapWidth val="150"/>
        <c:axId val="122127488"/>
        <c:axId val="122129024"/>
      </c:barChart>
      <c:catAx>
        <c:axId val="122127488"/>
        <c:scaling>
          <c:orientation val="minMax"/>
        </c:scaling>
        <c:delete val="0"/>
        <c:axPos val="b"/>
        <c:numFmt formatCode="General" sourceLinked="1"/>
        <c:majorTickMark val="out"/>
        <c:minorTickMark val="none"/>
        <c:tickLblPos val="nextTo"/>
        <c:crossAx val="122129024"/>
        <c:crosses val="autoZero"/>
        <c:auto val="1"/>
        <c:lblAlgn val="ctr"/>
        <c:lblOffset val="100"/>
        <c:noMultiLvlLbl val="0"/>
      </c:catAx>
      <c:valAx>
        <c:axId val="122129024"/>
        <c:scaling>
          <c:orientation val="minMax"/>
        </c:scaling>
        <c:delete val="0"/>
        <c:axPos val="l"/>
        <c:majorGridlines/>
        <c:numFmt formatCode="0" sourceLinked="1"/>
        <c:majorTickMark val="out"/>
        <c:minorTickMark val="none"/>
        <c:tickLblPos val="nextTo"/>
        <c:crossAx val="122127488"/>
        <c:crosses val="autoZero"/>
        <c:crossBetween val="between"/>
      </c:valAx>
    </c:plotArea>
    <c:legend>
      <c:legendPos val="r"/>
      <c:overlay val="0"/>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showLegendKey val="0"/>
          <c:showVal val="0"/>
          <c:showCatName val="0"/>
          <c:showSerName val="0"/>
          <c:showPercent val="0"/>
          <c:showBubbleSize val="0"/>
        </c:dLbls>
        <c:gapWidth val="150"/>
        <c:axId val="122145408"/>
        <c:axId val="122155392"/>
      </c:barChart>
      <c:catAx>
        <c:axId val="122145408"/>
        <c:scaling>
          <c:orientation val="minMax"/>
        </c:scaling>
        <c:delete val="0"/>
        <c:axPos val="b"/>
        <c:majorTickMark val="in"/>
        <c:minorTickMark val="none"/>
        <c:tickLblPos val="low"/>
        <c:crossAx val="122155392"/>
        <c:crosses val="autoZero"/>
        <c:auto val="1"/>
        <c:lblAlgn val="ctr"/>
        <c:lblOffset val="100"/>
        <c:noMultiLvlLbl val="0"/>
      </c:catAx>
      <c:valAx>
        <c:axId val="122155392"/>
        <c:scaling>
          <c:orientation val="minMax"/>
        </c:scaling>
        <c:delete val="0"/>
        <c:axPos val="l"/>
        <c:majorGridlines/>
        <c:numFmt formatCode="0" sourceLinked="1"/>
        <c:majorTickMark val="out"/>
        <c:minorTickMark val="none"/>
        <c:tickLblPos val="nextTo"/>
        <c:crossAx val="122145408"/>
        <c:crossesAt val="1"/>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кач.моноп!$L$1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68.852459016393439</c:v>
                </c:pt>
                <c:pt idx="1">
                  <c:v>60.655737704918032</c:v>
                </c:pt>
                <c:pt idx="2">
                  <c:v>68.852459016393439</c:v>
                </c:pt>
                <c:pt idx="3">
                  <c:v>73.770491803278688</c:v>
                </c:pt>
                <c:pt idx="4">
                  <c:v>67.213114754098356</c:v>
                </c:pt>
                <c:pt idx="5">
                  <c:v>65.573770491803273</c:v>
                </c:pt>
                <c:pt idx="6">
                  <c:v>68.852459016393439</c:v>
                </c:pt>
              </c:numCache>
            </c:numRef>
          </c:val>
        </c:ser>
        <c:ser>
          <c:idx val="1"/>
          <c:order val="1"/>
          <c:tx>
            <c:strRef>
              <c:f>кач.моноп!$M$1</c:f>
              <c:strCache>
                <c:ptCount val="1"/>
                <c:pt idx="0">
                  <c:v>Не удовлетворен</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27.868852459016392</c:v>
                </c:pt>
                <c:pt idx="1">
                  <c:v>22.950819672131146</c:v>
                </c:pt>
                <c:pt idx="2">
                  <c:v>22.950819672131146</c:v>
                </c:pt>
                <c:pt idx="3">
                  <c:v>22.950819672131146</c:v>
                </c:pt>
                <c:pt idx="4">
                  <c:v>26.229508196721312</c:v>
                </c:pt>
                <c:pt idx="5">
                  <c:v>24.590163934426229</c:v>
                </c:pt>
                <c:pt idx="6">
                  <c:v>29.508196721311474</c:v>
                </c:pt>
              </c:numCache>
            </c:numRef>
          </c:val>
        </c:ser>
        <c:ser>
          <c:idx val="2"/>
          <c:order val="2"/>
          <c:tx>
            <c:strRef>
              <c:f>кач.моноп!$N$1</c:f>
              <c:strCache>
                <c:ptCount val="1"/>
                <c:pt idx="0">
                  <c:v>Затрудняюсь ответить</c:v>
                </c:pt>
              </c:strCache>
            </c:strRef>
          </c:tx>
          <c:invertIfNegative val="0"/>
          <c:dLbls>
            <c:showLegendKey val="0"/>
            <c:showVal val="1"/>
            <c:showCatName val="0"/>
            <c:showSerName val="0"/>
            <c:showPercent val="0"/>
            <c:showBubbleSize val="0"/>
            <c:showLeaderLines val="0"/>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3.278688524590164</c:v>
                </c:pt>
                <c:pt idx="1">
                  <c:v>16.393442622950818</c:v>
                </c:pt>
                <c:pt idx="2">
                  <c:v>8.1967213114754092</c:v>
                </c:pt>
                <c:pt idx="3">
                  <c:v>3.278688524590164</c:v>
                </c:pt>
                <c:pt idx="4">
                  <c:v>6.557377049180328</c:v>
                </c:pt>
                <c:pt idx="5">
                  <c:v>9.8360655737704921</c:v>
                </c:pt>
                <c:pt idx="6">
                  <c:v>1.639344262295082</c:v>
                </c:pt>
              </c:numCache>
            </c:numRef>
          </c:val>
        </c:ser>
        <c:dLbls>
          <c:showLegendKey val="0"/>
          <c:showVal val="0"/>
          <c:showCatName val="0"/>
          <c:showSerName val="0"/>
          <c:showPercent val="0"/>
          <c:showBubbleSize val="0"/>
        </c:dLbls>
        <c:gapWidth val="150"/>
        <c:axId val="122636544"/>
        <c:axId val="122642432"/>
      </c:barChart>
      <c:catAx>
        <c:axId val="122636544"/>
        <c:scaling>
          <c:orientation val="minMax"/>
        </c:scaling>
        <c:delete val="0"/>
        <c:axPos val="b"/>
        <c:numFmt formatCode="General" sourceLinked="0"/>
        <c:majorTickMark val="out"/>
        <c:minorTickMark val="none"/>
        <c:tickLblPos val="nextTo"/>
        <c:crossAx val="122642432"/>
        <c:crosses val="autoZero"/>
        <c:auto val="1"/>
        <c:lblAlgn val="ctr"/>
        <c:lblOffset val="100"/>
        <c:noMultiLvlLbl val="0"/>
      </c:catAx>
      <c:valAx>
        <c:axId val="122642432"/>
        <c:scaling>
          <c:orientation val="minMax"/>
        </c:scaling>
        <c:delete val="0"/>
        <c:axPos val="l"/>
        <c:majorGridlines/>
        <c:numFmt formatCode="0" sourceLinked="1"/>
        <c:majorTickMark val="out"/>
        <c:minorTickMark val="none"/>
        <c:tickLblPos val="nextTo"/>
        <c:crossAx val="122636544"/>
        <c:crosses val="autoZero"/>
        <c:crossBetween val="between"/>
      </c:valAx>
    </c:plotArea>
    <c:legend>
      <c:legendPos val="r"/>
      <c:overlay val="0"/>
    </c:legend>
    <c:plotVisOnly val="1"/>
    <c:dispBlanksAs val="gap"/>
    <c:showDLblsOverMax val="0"/>
  </c:chart>
  <c:spPr>
    <a:ln>
      <a:noFill/>
    </a:ln>
  </c:spPr>
  <c:txPr>
    <a:bodyPr/>
    <a:lstStyle/>
    <a:p>
      <a:pPr>
        <a:defRPr>
          <a:ln>
            <a:noFill/>
          </a:ln>
          <a:latin typeface="Times" panose="0202060306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panose="0202060306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504504504504501"/>
          <c:y val="2.8118000299095371E-2"/>
          <c:w val="0.34054054054054056"/>
          <c:h val="0.94376399940180922"/>
        </c:manualLayout>
      </c:layout>
      <c:overlay val="0"/>
      <c:txPr>
        <a:bodyPr/>
        <a:lstStyle/>
        <a:p>
          <a:pPr>
            <a:defRPr sz="1050">
              <a:latin typeface="Times" panose="02020603060405020304"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showLegendKey val="0"/>
          <c:showVal val="0"/>
          <c:showCatName val="0"/>
          <c:showSerName val="0"/>
          <c:showPercent val="0"/>
          <c:showBubbleSize val="0"/>
        </c:dLbls>
        <c:gapWidth val="150"/>
        <c:axId val="122290944"/>
        <c:axId val="122292480"/>
      </c:barChart>
      <c:catAx>
        <c:axId val="122290944"/>
        <c:scaling>
          <c:orientation val="minMax"/>
        </c:scaling>
        <c:delete val="0"/>
        <c:axPos val="b"/>
        <c:majorTickMark val="out"/>
        <c:minorTickMark val="none"/>
        <c:tickLblPos val="nextTo"/>
        <c:crossAx val="122292480"/>
        <c:crosses val="autoZero"/>
        <c:auto val="1"/>
        <c:lblAlgn val="ctr"/>
        <c:lblOffset val="100"/>
        <c:noMultiLvlLbl val="0"/>
      </c:catAx>
      <c:valAx>
        <c:axId val="122292480"/>
        <c:scaling>
          <c:orientation val="minMax"/>
        </c:scaling>
        <c:delete val="0"/>
        <c:axPos val="l"/>
        <c:majorGridlines/>
        <c:numFmt formatCode="0" sourceLinked="1"/>
        <c:majorTickMark val="out"/>
        <c:minorTickMark val="none"/>
        <c:tickLblPos val="nextTo"/>
        <c:crossAx val="122290944"/>
        <c:crosses val="autoZero"/>
        <c:crossBetween val="between"/>
      </c:valAx>
    </c:plotArea>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'уровень конкур'!$B$1</c:f>
              <c:strCache>
                <c:ptCount val="1"/>
                <c:pt idx="0">
                  <c:v>Высокая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invertIfNegative val="0"/>
          <c:dLbls>
            <c:showLegendKey val="0"/>
            <c:showVal val="1"/>
            <c:showCatName val="0"/>
            <c:showSerName val="0"/>
            <c:showPercent val="0"/>
            <c:showBubbleSize val="0"/>
            <c:showLeaderLines val="0"/>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showLegendKey val="0"/>
          <c:showVal val="0"/>
          <c:showCatName val="0"/>
          <c:showSerName val="0"/>
          <c:showPercent val="0"/>
          <c:showBubbleSize val="0"/>
        </c:dLbls>
        <c:gapWidth val="150"/>
        <c:axId val="122340864"/>
        <c:axId val="122342400"/>
      </c:barChart>
      <c:catAx>
        <c:axId val="122340864"/>
        <c:scaling>
          <c:orientation val="minMax"/>
        </c:scaling>
        <c:delete val="0"/>
        <c:axPos val="b"/>
        <c:numFmt formatCode="General" sourceLinked="1"/>
        <c:majorTickMark val="out"/>
        <c:minorTickMark val="none"/>
        <c:tickLblPos val="nextTo"/>
        <c:txPr>
          <a:bodyPr/>
          <a:lstStyle/>
          <a:p>
            <a:pPr>
              <a:defRPr sz="800"/>
            </a:pPr>
            <a:endParaRPr lang="ru-RU"/>
          </a:p>
        </c:txPr>
        <c:crossAx val="122342400"/>
        <c:crosses val="autoZero"/>
        <c:auto val="1"/>
        <c:lblAlgn val="ctr"/>
        <c:lblOffset val="100"/>
        <c:noMultiLvlLbl val="0"/>
      </c:catAx>
      <c:valAx>
        <c:axId val="122342400"/>
        <c:scaling>
          <c:orientation val="minMax"/>
        </c:scaling>
        <c:delete val="0"/>
        <c:axPos val="l"/>
        <c:majorGridlines/>
        <c:numFmt formatCode="General" sourceLinked="1"/>
        <c:majorTickMark val="out"/>
        <c:minorTickMark val="none"/>
        <c:tickLblPos val="nextTo"/>
        <c:crossAx val="122340864"/>
        <c:crosses val="autoZero"/>
        <c:crossBetween val="between"/>
      </c:valAx>
    </c:plotArea>
    <c:legend>
      <c:legendPos val="r"/>
      <c:layout>
        <c:manualLayout>
          <c:xMode val="edge"/>
          <c:yMode val="edge"/>
          <c:x val="0.78171191491688541"/>
          <c:y val="0.19960872567606694"/>
          <c:w val="0.20960752952755907"/>
          <c:h val="0.52455947444439266"/>
        </c:manualLayout>
      </c:layout>
      <c:overlay val="0"/>
      <c:spPr>
        <a:ln>
          <a:noFill/>
        </a:ln>
      </c:spPr>
      <c:txPr>
        <a:bodyPr/>
        <a:lstStyle/>
        <a:p>
          <a:pPr>
            <a:defRPr sz="1000"/>
          </a:pPr>
          <a:endParaRPr lang="ru-RU"/>
        </a:p>
      </c:txPr>
    </c:legend>
    <c:plotVisOnly val="1"/>
    <c:dispBlanksAs val="gap"/>
    <c:showDLblsOverMax val="0"/>
  </c:chart>
  <c:spPr>
    <a:ln>
      <a:noFill/>
    </a:ln>
  </c:spPr>
  <c:txPr>
    <a:bodyPr/>
    <a:lstStyle/>
    <a:p>
      <a:pPr>
        <a:defRPr>
          <a:latin typeface="Times" panose="0202060306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A1D5-A8CC-46C1-8245-BDB380E0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Ярушина Нататья Борисовна</cp:lastModifiedBy>
  <cp:revision>2</cp:revision>
  <cp:lastPrinted>2016-04-15T07:17:00Z</cp:lastPrinted>
  <dcterms:created xsi:type="dcterms:W3CDTF">2016-05-24T03:20:00Z</dcterms:created>
  <dcterms:modified xsi:type="dcterms:W3CDTF">2016-05-24T03:20:00Z</dcterms:modified>
</cp:coreProperties>
</file>