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9" w:type="dxa"/>
        <w:jc w:val="left"/>
        <w:tblInd w:w="478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9"/>
      </w:tblGrid>
      <w:tr>
        <w:trPr>
          <w:trHeight w:val="1602" w:hRule="atLeast"/>
        </w:trPr>
        <w:tc>
          <w:tcPr>
            <w:tcW w:w="500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7"/>
                <w:sz w:val="27"/>
                <w:szCs w:val="27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7"/>
                <w:szCs w:val="27"/>
              </w:rPr>
              <w:t>Утвержден</w:t>
            </w:r>
            <w:r/>
          </w:p>
          <w:p>
            <w:pPr>
              <w:pStyle w:val="Normal"/>
              <w:jc w:val="center"/>
              <w:rPr>
                <w:sz w:val="27"/>
                <w:sz w:val="27"/>
                <w:szCs w:val="27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7"/>
                <w:szCs w:val="27"/>
              </w:rPr>
              <w:t>решением организационного комитета</w:t>
            </w:r>
            <w:r/>
          </w:p>
          <w:p>
            <w:pPr>
              <w:pStyle w:val="Normal"/>
              <w:jc w:val="center"/>
              <w:rPr>
                <w:sz w:val="27"/>
                <w:sz w:val="27"/>
                <w:szCs w:val="27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7"/>
                <w:szCs w:val="27"/>
              </w:rPr>
              <w:t>по проведению всероссийского конкурса</w:t>
            </w:r>
            <w:r/>
          </w:p>
          <w:p>
            <w:pPr>
              <w:pStyle w:val="Normal"/>
              <w:jc w:val="center"/>
              <w:rPr>
                <w:sz w:val="27"/>
                <w:sz w:val="27"/>
                <w:szCs w:val="27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7"/>
                <w:szCs w:val="27"/>
              </w:rPr>
              <w:t>«Российская организация высокой социальной эффективности»</w:t>
            </w:r>
            <w:r/>
          </w:p>
          <w:p>
            <w:pPr>
              <w:pStyle w:val="Normal"/>
              <w:jc w:val="center"/>
            </w:pPr>
            <w:r>
              <w:rPr>
                <w:sz w:val="27"/>
                <w:szCs w:val="27"/>
              </w:rPr>
              <w:t>от 1</w:t>
            </w:r>
            <w:r>
              <w:rPr>
                <w:sz w:val="27"/>
                <w:szCs w:val="27"/>
                <w:lang w:val="en-US"/>
              </w:rPr>
              <w:t>8</w:t>
            </w:r>
            <w:r>
              <w:rPr>
                <w:sz w:val="27"/>
                <w:szCs w:val="27"/>
              </w:rPr>
              <w:t xml:space="preserve"> августа 201</w:t>
            </w:r>
            <w:r>
              <w:rPr>
                <w:sz w:val="27"/>
                <w:szCs w:val="27"/>
                <w:lang w:val="en-US"/>
              </w:rPr>
              <w:t>5</w:t>
            </w:r>
            <w:r>
              <w:rPr>
                <w:sz w:val="27"/>
                <w:szCs w:val="27"/>
              </w:rPr>
              <w:t xml:space="preserve"> г. протокол № 1</w:t>
            </w:r>
            <w:r/>
          </w:p>
          <w:p>
            <w:pPr>
              <w:pStyle w:val="Normal"/>
              <w:rPr>
                <w:sz w:val="27"/>
                <w:sz w:val="27"/>
                <w:szCs w:val="27"/>
                <w:rFonts w:ascii="Times New Roman" w:hAnsi="Times New Roman" w:eastAsia="Times New Roman" w:cs="Times New Roman"/>
                <w:color w:val="auto"/>
                <w:lang w:val="ru-RU" w:bidi="ar-SA"/>
              </w:rPr>
            </w:pPr>
            <w:r>
              <w:rPr>
                <w:sz w:val="27"/>
                <w:szCs w:val="27"/>
              </w:rPr>
            </w:r>
            <w:r/>
          </w:p>
        </w:tc>
      </w:tr>
    </w:tbl>
    <w:p>
      <w:pPr>
        <w:pStyle w:val="Normal"/>
        <w:ind w:firstLine="4680"/>
        <w:rPr>
          <w:sz w:val="27"/>
          <w:sz w:val="27"/>
          <w:szCs w:val="27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7"/>
          <w:szCs w:val="27"/>
        </w:rPr>
      </w:r>
      <w:r/>
    </w:p>
    <w:p>
      <w:pPr>
        <w:pStyle w:val="Normal"/>
        <w:ind w:firstLine="4680"/>
        <w:rPr>
          <w:sz w:val="27"/>
          <w:sz w:val="27"/>
          <w:szCs w:val="27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7"/>
          <w:szCs w:val="27"/>
        </w:rPr>
      </w:r>
      <w:r/>
    </w:p>
    <w:p>
      <w:pPr>
        <w:pStyle w:val="Normal"/>
        <w:jc w:val="center"/>
        <w:rPr>
          <w:sz w:val="27"/>
          <w:b/>
          <w:sz w:val="27"/>
          <w:b/>
          <w:szCs w:val="27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27"/>
          <w:szCs w:val="27"/>
        </w:rPr>
      </w:r>
      <w:r/>
    </w:p>
    <w:p>
      <w:pPr>
        <w:pStyle w:val="Normal"/>
        <w:jc w:val="center"/>
        <w:rPr>
          <w:sz w:val="27"/>
          <w:b/>
          <w:sz w:val="27"/>
          <w:b/>
          <w:szCs w:val="27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27"/>
          <w:szCs w:val="27"/>
        </w:rPr>
      </w:r>
      <w:r/>
    </w:p>
    <w:p>
      <w:pPr>
        <w:pStyle w:val="Normal"/>
        <w:jc w:val="center"/>
        <w:rPr>
          <w:sz w:val="27"/>
          <w:b/>
          <w:sz w:val="27"/>
          <w:b/>
          <w:szCs w:val="27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27"/>
          <w:szCs w:val="27"/>
        </w:rPr>
        <w:t>ПОРЯДОК</w:t>
      </w:r>
      <w:r/>
    </w:p>
    <w:p>
      <w:pPr>
        <w:pStyle w:val="Normal"/>
        <w:jc w:val="center"/>
      </w:pPr>
      <w:r>
        <w:rPr>
          <w:b/>
          <w:sz w:val="27"/>
          <w:szCs w:val="27"/>
        </w:rPr>
        <w:t>проведения всероссийского конкурса «Российская организация высокой социальной эффективности» и награждения его победителей</w:t>
      </w:r>
      <w:r/>
    </w:p>
    <w:p>
      <w:pPr>
        <w:pStyle w:val="Normal"/>
        <w:jc w:val="center"/>
        <w:rPr>
          <w:sz w:val="27"/>
          <w:b/>
          <w:sz w:val="27"/>
          <w:b/>
          <w:szCs w:val="27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sz w:val="27"/>
          <w:szCs w:val="27"/>
        </w:rPr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Настоящий порядок определяет организационную систему проведения всероссийского конкурса «Российская организация высокой социальной эффективности».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Всероссийский конкурс «Российская организация высокой социальной эффективности» (далее – конкурс) проводится ежегодно в соответствии с настоящим порядком, а также утвержденными планом мероприятий по проведению конкурса, критериями отбора победителей конкурса, методическими рекомендациями по проведению конкурса на федеральном и региональном уровнях, формами представления информации для участия в конкурсе (далее – документы, регламентирующие проведение конкурса).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 xml:space="preserve"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 (далее – организации). 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Конкурс проводится ежегодно в два этапа на региональном и федеральном уровнях по номинациям, утверждаемым организационным комитетом по проведению конкурса (далее – организационный комитет).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Участие в региональном и федеральном этапах конкурса является  бесплатным.</w:t>
      </w:r>
      <w:r/>
    </w:p>
    <w:p>
      <w:pPr>
        <w:pStyle w:val="Normal"/>
        <w:ind w:firstLine="720"/>
        <w:jc w:val="both"/>
      </w:pPr>
      <w:r>
        <w:rPr>
          <w:sz w:val="28"/>
          <w:szCs w:val="28"/>
        </w:rPr>
        <w:t>Для участия в федеральном этапе конкурса по каждой номинации может быть номинирован только один из числа победителей, занявших первые места.</w:t>
      </w:r>
      <w:r/>
    </w:p>
    <w:p>
      <w:pPr>
        <w:pStyle w:val="Normal"/>
        <w:ind w:firstLine="720"/>
        <w:jc w:val="both"/>
      </w:pPr>
      <w:r>
        <w:rPr>
          <w:sz w:val="28"/>
          <w:szCs w:val="28"/>
        </w:rPr>
        <w:t>В случае, если в региональном этапе конкурса участвовала только одна организация по номинации, утвержденной организационным комитетом, по решению субъекта Российской Федерации она также может быть номинирована для участия в федеральном этапе конкурса.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CC"/>
          <w:lang w:val="ru-RU" w:bidi="ar-SA"/>
        </w:rPr>
      </w:pPr>
      <w:r>
        <w:rPr>
          <w:color w:val="0000CC"/>
          <w:sz w:val="28"/>
          <w:szCs w:val="28"/>
        </w:rPr>
        <w:t>Организации, занявшие 1 место, победители в номинации федерального этапа Конкурса в предшествующем году, не рассматриваются на призовые места в данной номинации в текущем году.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Основные требования, предъявляемые к организациям, желающим принять участие в конкурсе: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организация осуществляет свою деятельность не менее трех лет;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  <w:r/>
    </w:p>
    <w:p>
      <w:pPr>
        <w:pStyle w:val="Normal"/>
        <w:ind w:firstLine="720"/>
        <w:jc w:val="both"/>
      </w:pPr>
      <w:r>
        <w:rPr>
          <w:sz w:val="28"/>
          <w:szCs w:val="28"/>
        </w:rPr>
        <w:t xml:space="preserve"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</w:t>
      </w:r>
      <w:r>
        <w:rPr>
          <w:color w:val="0000CC"/>
          <w:sz w:val="28"/>
          <w:szCs w:val="28"/>
        </w:rPr>
        <w:t>за исключением задолженности, возникшей в результате округления сумм при исчислении налогов налоговым органом;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работники и работодатели не находятся в состоянии коллективного трудового спора;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организация не имеет судебных решений и тяжб, связанных с нарушением трудовых прав работников;</w:t>
      </w:r>
      <w:r/>
    </w:p>
    <w:p>
      <w:pPr>
        <w:pStyle w:val="Normal"/>
        <w:ind w:firstLine="720"/>
        <w:jc w:val="both"/>
      </w:pPr>
      <w:r>
        <w:rPr>
          <w:sz w:val="28"/>
          <w:szCs w:val="28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  <w:r/>
    </w:p>
    <w:p>
      <w:pPr>
        <w:pStyle w:val="Normal"/>
        <w:ind w:firstLine="72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CC"/>
          <w:lang w:val="ru-RU" w:bidi="ar-SA"/>
        </w:rPr>
      </w:pPr>
      <w:r>
        <w:rPr>
          <w:color w:val="0000CC"/>
          <w:sz w:val="28"/>
          <w:szCs w:val="28"/>
        </w:rPr>
        <w:t xml:space="preserve"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 во время проведения конкурса (до утверждения победителей). </w:t>
      </w:r>
      <w:r/>
    </w:p>
    <w:p>
      <w:pPr>
        <w:pStyle w:val="Normal"/>
        <w:ind w:firstLine="720"/>
        <w:jc w:val="both"/>
      </w:pPr>
      <w:r>
        <w:rPr>
          <w:color w:val="0000CC"/>
          <w:sz w:val="28"/>
          <w:szCs w:val="28"/>
        </w:rPr>
        <w:t>Оргкомитет может запросить дополнительную информацию по участникам Конкурса.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Организационно-техническое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Федерации, определяемый высшим органом исполнительной власти субъекта Российской Федерации, на федеральном уровне – Министерство труда и социальной защиты Российской Федерации.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Министерство труда и социальной защиты Российской Федерации с участием заинтересованных федеральных органов исполнительной власти, органов исполнительной власти субъектов Российской Федерации, общероссийских объединений профсоюзов и общероссийских объединений работодателей осуществляет подготовку проектов документов, регламентирующих проведение конкурса, и направляет утвержденные документы в субъекты Российской Федерации.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 xml:space="preserve">Уполномоченный орган исполнительной власти субъекта Российской Федерации с участием сторон социального партнерства разрабатывает проект регионального плана мероприятий по проведению конкурса, формирует экспертную рабочую группу для рассмотрения и оценки заявок участников конкурса, организует информирование организаций о порядке проведения конкурса и награждении его победителей. 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В целях подтверждения достоверности сведений, приведенных организацией в заявке на участие в конкурсе, на региональном этапе уполномоченный орган исполнительной власти субъекта Российской Федерации запрашивает необходимую информацию в государственной инспекции труда, территориальных органах Федеральной миграционной службы, Федеральной налоговой службы, Фонда социального страхования Российской Федерации и Пенсионного фонда Российской Федерации.</w:t>
      </w:r>
      <w:r/>
    </w:p>
    <w:p>
      <w:pPr>
        <w:pStyle w:val="Style16"/>
        <w:numPr>
          <w:ilvl w:val="0"/>
          <w:numId w:val="0"/>
        </w:numPr>
        <w:ind w:left="0" w:firstLine="720"/>
      </w:pPr>
      <w:r>
        <w:rPr>
          <w:sz w:val="28"/>
        </w:rPr>
        <w:t>При выявлении несоответствия организации требованиям, предъявляемым к организациям, желающим принять участие в конкурсе, ее заявка отклоняется и не рассматривается как несоответствующая критериям допуска к участию в конкурсе.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Победители по номинациям конкурса в субъекте Российской Федерации определяются решением региональной трехсторонней комиссии по регулированию социально-трудовых отношений.</w:t>
      </w:r>
      <w:r/>
    </w:p>
    <w:p>
      <w:pPr>
        <w:pStyle w:val="Normal"/>
        <w:ind w:firstLine="720"/>
        <w:jc w:val="both"/>
      </w:pPr>
      <w:r>
        <w:rPr>
          <w:sz w:val="28"/>
          <w:szCs w:val="28"/>
        </w:rPr>
        <w:t>Региональная трехсторонняя комиссия по регулированию социально-трудовых отношений осуществляет номинирование победителей регионального этапа конкурса, занявших первые места по номинациям, для участия в федеральном этапе конкурса.</w:t>
      </w:r>
      <w:r/>
    </w:p>
    <w:p>
      <w:pPr>
        <w:pStyle w:val="Normal"/>
        <w:ind w:firstLine="720"/>
        <w:jc w:val="both"/>
      </w:pPr>
      <w:r>
        <w:rPr>
          <w:sz w:val="28"/>
          <w:szCs w:val="28"/>
        </w:rPr>
        <w:t>Для участия в федеральном этапе конкурса по каждой номинации может быть номинирован только один из числа победителей, занявших первые места.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color w:val="0000CC"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Победители 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социально-трудовых отношений и ее постоянно-действующих рабочих групп с предварительным рассмотрением представленных материалов на заседаниях Организационного комитета конкурса.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Организационный комитет на основании решения Российской трехсторонней комиссии по регулированию социально-трудовых отношений утверждает победителей конкурса и подводит его итоги.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>Отбор и рассмотрение заявок участников конкурса, определение победителей на региональном этапе конкурса, проведение конкурса на федеральном уровне с подведением итогов конкурса, награждением его победителей осуществляется в соответствии с методическими рекомендациями и планом мероприятий по проведению конкурса.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 xml:space="preserve">Для победителей по каждой номинации конкурса предусматривается не более одного первого, двух вторых и двух третьих мест. </w:t>
      </w:r>
      <w:r/>
    </w:p>
    <w:p>
      <w:pPr>
        <w:pStyle w:val="Normal"/>
        <w:tabs>
          <w:tab w:val="center" w:pos="5037" w:leader="none"/>
        </w:tabs>
        <w:ind w:firstLine="720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В случае, если по итогам федерального этапа конкурса организация претендует на призовые места  в двух и более номинациях, такая организация признается победителем конкурса (без указания номинации) и награждается «Гран-при».</w:t>
      </w:r>
      <w:r/>
    </w:p>
    <w:p>
      <w:pPr>
        <w:pStyle w:val="Normal"/>
        <w:tabs>
          <w:tab w:val="center" w:pos="5037" w:leader="none"/>
        </w:tabs>
        <w:ind w:firstLine="720"/>
        <w:jc w:val="both"/>
      </w:pPr>
      <w:r>
        <w:rPr>
          <w:sz w:val="28"/>
          <w:szCs w:val="28"/>
        </w:rPr>
        <w:t xml:space="preserve">При этом призовые места в номинациях конкурса, на которые претендовала данная организация, переходят к следующим организациям в соответствии с ранжированными по сумме баллов в заявках участников перечнями по соответствующим номинациям конкурса. Данная процедура осуществляется один раз и список претендентов на «Гран-при» не пополняется. 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sz w:val="28"/>
          <w:szCs w:val="28"/>
        </w:rPr>
        <w:t xml:space="preserve">Награждение победителей конкурса проводится в торжественной обстановке на заседании Российской трехсторонней комиссии по регулированию социально-трудовых отношений. </w:t>
      </w:r>
      <w:r/>
    </w:p>
    <w:p>
      <w:pPr>
        <w:pStyle w:val="Normal"/>
        <w:tabs>
          <w:tab w:val="center" w:pos="5037" w:leader="none"/>
        </w:tabs>
        <w:ind w:firstLine="567"/>
        <w:jc w:val="both"/>
        <w:rPr>
          <w:sz w:val="28"/>
          <w:sz w:val="28"/>
          <w:szCs w:val="28"/>
        </w:rPr>
      </w:pPr>
      <w:r>
        <w:rPr>
          <w:sz w:val="28"/>
          <w:szCs w:val="28"/>
        </w:rPr>
        <w:t>Победителям по номинациям конкурса вручаются дипломы.</w:t>
      </w:r>
      <w:r/>
    </w:p>
    <w:p>
      <w:pPr>
        <w:pStyle w:val="Normal"/>
        <w:tabs>
          <w:tab w:val="center" w:pos="5037" w:leader="none"/>
        </w:tabs>
        <w:ind w:firstLine="567"/>
        <w:jc w:val="both"/>
      </w:pPr>
      <w:r>
        <w:rPr>
          <w:sz w:val="28"/>
          <w:szCs w:val="28"/>
        </w:rPr>
        <w:t>Победители конкурса (без указания номинации) награждаются «Гран-при».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567"/>
        <w:jc w:val="both"/>
      </w:pPr>
      <w:r>
        <w:rPr>
          <w:color w:val="0000CC"/>
          <w:sz w:val="28"/>
          <w:szCs w:val="28"/>
          <w:u w:val="single"/>
        </w:rPr>
        <w:t>Победители конкурса в течение двух недель после утверждения итогов конкурса направляют презентационные материалы своих корпоративных практик (программ) по направлению номинации в Минтруд России для организации распространения положительного опыта в информационных ресурсах.</w:t>
      </w:r>
      <w:r/>
    </w:p>
    <w:p>
      <w:pPr>
        <w:pStyle w:val="Normal"/>
        <w:tabs>
          <w:tab w:val="left" w:pos="709" w:leader="none"/>
        </w:tabs>
        <w:jc w:val="both"/>
      </w:pPr>
      <w:r>
        <w:rPr>
          <w:color w:val="0000CC"/>
          <w:sz w:val="28"/>
          <w:szCs w:val="28"/>
          <w:u w:val="single"/>
        </w:rPr>
        <w:tab/>
        <w:t>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порядке.</w:t>
      </w:r>
      <w:r>
        <w:rPr>
          <w:sz w:val="28"/>
          <w:szCs w:val="28"/>
          <w:u w:val="single"/>
        </w:rPr>
        <w:t xml:space="preserve"> </w:t>
      </w:r>
      <w:r/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Освещение в государственных средствах массовой информации этапов проведения конкурса, достижений его участников в решении ими социальных вопросов, в также процедуры награждения победителей конкурса осуществляется при содействии Министерства связи и массовых коммуникаций Российской Федерации.</w:t>
      </w:r>
      <w:r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91" w:right="1134" w:header="397" w:top="1134" w:footer="397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>
        <w:sz w:val="24"/>
        <w:sz w:val="24"/>
        <w:szCs w:val="24"/>
        <w:rFonts w:ascii="Times New Roman" w:hAnsi="Times New Roman" w:eastAsia="Times New Roman" w:cs="Times New Roman"/>
        <w:color w:val="auto"/>
        <w:lang w:val="ru-RU" w:bidi="ar-SA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350520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3505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ooter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1.15pt;height:27.6pt;margin-top:0.05pt;mso-position-vertical-relative:text;margin-left:477.9pt;mso-position-horizontal:right;mso-position-horizontal-relative:margin">
              <v:fill opacity="0f"/>
              <v:textbox>
                <w:txbxContent>
                  <w:p>
                    <w:pPr>
                      <w:pStyle w:val="Footer"/>
                    </w:pPr>
                    <w:r>
                      <w:rPr/>
                    </w:r>
                  </w:p>
                  <w:p>
                    <w:pPr>
                      <w:pStyle w:val="Footer"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>
        <w:sz w:val="24"/>
        <w:sz w:val="24"/>
        <w:szCs w:val="24"/>
        <w:rFonts w:ascii="Times New Roman" w:hAnsi="Times New Roman" w:eastAsia="Times New Roman" w:cs="Times New Roman"/>
        <w:color w:val="auto"/>
        <w:lang w:val="ru-RU" w:bidi="ar-SA"/>
      </w:rPr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3185" cy="365125"/>
              <wp:effectExtent l="0" t="0" r="0" b="0"/>
              <wp:wrapSquare wrapText="largest"/>
              <wp:docPr id="1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3651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  <w:p>
                          <w:pPr>
                            <w:pStyle w:val="Header"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width:6.55pt;height:28.75pt;margin-top:0.05pt;mso-position-vertical-relative:text;margin-left:472.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PageNumber"/>
                        <w:sz w:val="26"/>
                        <w:szCs w:val="26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  <w:p>
                    <w:pPr>
                      <w:pStyle w:val="Header"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27"/>
        <w:sz w:val="27"/>
        <w:szCs w:val="27"/>
        <w:rFonts w:ascii="Times New Roman" w:hAnsi="Times New Roman" w:eastAsia="Times New Roman" w:cs="Times New Roman"/>
        <w:color w:val="auto"/>
        <w:lang w:val="ru-RU" w:bidi="ar-SA"/>
      </w:rPr>
    </w:pPr>
    <w:r>
      <w:rPr>
        <w:sz w:val="27"/>
        <w:szCs w:val="27"/>
      </w:rPr>
      <w:t>Приложение № 4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/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xx"/>
    </w:rPr>
  </w:style>
  <w:style w:type="character" w:styleId="WW8Num1z0">
    <w:name w:val="WW8Num1z0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2">
    <w:name w:val="WW8Num2z2"/>
    <w:rPr>
      <w:i w:val="false"/>
      <w:color w:val="000000"/>
    </w:rPr>
  </w:style>
  <w:style w:type="character" w:styleId="WW8Num2z4">
    <w:name w:val="WW8Num2z4"/>
    <w:rPr>
      <w:rFonts w:ascii="Times New Roman" w:hAnsi="Times New Roman" w:cs="Times New Roman"/>
    </w:rPr>
  </w:style>
  <w:style w:type="character" w:styleId="WW8Num3z0">
    <w:name w:val="WW8Num3z0"/>
    <w:rPr>
      <w:color w:val="0000CC"/>
      <w:sz w:val="28"/>
      <w:szCs w:val="28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Style14">
    <w:name w:val="Основной шрифт абзаца"/>
    <w:rPr/>
  </w:style>
  <w:style w:type="character" w:styleId="PageNumber">
    <w:name w:val="Page Number"/>
    <w:basedOn w:val="Style14"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5">
    <w:name w:val=" Знак"/>
    <w:basedOn w:val="Normal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6">
    <w:name w:val="Пункт"/>
    <w:basedOn w:val="Normal"/>
    <w:pPr>
      <w:numPr>
        <w:ilvl w:val="0"/>
        <w:numId w:val="1"/>
      </w:numPr>
      <w:jc w:val="both"/>
    </w:pPr>
    <w:rPr>
      <w:szCs w:val="28"/>
    </w:rPr>
  </w:style>
  <w:style w:type="paragraph" w:styleId="Style17">
    <w:name w:val="Подпункт"/>
    <w:basedOn w:val="Style16"/>
    <w:pPr>
      <w:numPr>
        <w:ilvl w:val="0"/>
        <w:numId w:val="1"/>
      </w:numPr>
    </w:pPr>
    <w:rPr/>
  </w:style>
  <w:style w:type="paragraph" w:styleId="Style18">
    <w:name w:val="Текст выноски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16980</TotalTime>
  <Application>LibreOffice/4.3.3.2$Linux_X86_64 LibreOffice_project/430m0$Build-2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2015-08-18T16:14:00Z</dcterms:created>
  <dc:creator>KretovaDS</dc:creator>
  <dc:language>ru-RU</dc:language>
  <cp:lastModifiedBy>AshikhminDV</cp:lastModifiedBy>
  <cp:lastPrinted>2015-08-31T18:18:00Z</cp:lastPrinted>
  <dcterms:modified xsi:type="dcterms:W3CDTF">2015-08-31T20:19:00Z</dcterms:modified>
  <cp:revision>7</cp:revision>
  <dc:title>ПОРЯДОК</dc:title>
</cp:coreProperties>
</file>