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96" w:rsidRDefault="00190596" w:rsidP="00190596">
      <w:pPr>
        <w:pStyle w:val="2"/>
        <w:framePr w:w="72" w:h="60" w:wrap="around" w:x="175" w:y="-827"/>
        <w:ind w:left="-142" w:firstLine="142"/>
        <w:jc w:val="left"/>
        <w:rPr>
          <w:sz w:val="28"/>
        </w:rPr>
      </w:pPr>
    </w:p>
    <w:p w:rsidR="00190596" w:rsidRDefault="00190596" w:rsidP="00190596">
      <w:pPr>
        <w:pStyle w:val="2"/>
        <w:framePr w:w="72" w:h="60" w:wrap="around" w:x="175" w:y="-827"/>
        <w:ind w:left="-142" w:firstLine="142"/>
        <w:rPr>
          <w:sz w:val="16"/>
          <w:szCs w:val="16"/>
        </w:rPr>
      </w:pPr>
    </w:p>
    <w:p w:rsidR="00C27ED1" w:rsidRDefault="00190596" w:rsidP="00556F01">
      <w:pPr>
        <w:ind w:left="-142" w:firstLine="142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58F32" wp14:editId="7C33368B">
                <wp:simplePos x="0" y="0"/>
                <wp:positionH relativeFrom="column">
                  <wp:posOffset>6481444</wp:posOffset>
                </wp:positionH>
                <wp:positionV relativeFrom="paragraph">
                  <wp:posOffset>-468630</wp:posOffset>
                </wp:positionV>
                <wp:extent cx="50165" cy="45719"/>
                <wp:effectExtent l="0" t="0" r="26035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16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CB" w:rsidRPr="0076168F" w:rsidRDefault="00FF3BCB" w:rsidP="00C27E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10.35pt;margin-top:-36.9pt;width:3.9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" strokecolor="white">
                <v:textbox>
                  <w:txbxContent>
                    <w:p w:rsidR="00343175" w:rsidRPr="0076168F" w:rsidRDefault="00343175" w:rsidP="00C27ED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7ED1" w:rsidRPr="00190596" w:rsidRDefault="00190596" w:rsidP="003A5C91">
      <w:pPr>
        <w:ind w:left="-142" w:firstLine="142"/>
        <w:jc w:val="center"/>
        <w:rPr>
          <w:b/>
          <w:sz w:val="28"/>
          <w:szCs w:val="28"/>
        </w:rPr>
      </w:pPr>
      <w:r w:rsidRPr="00190596">
        <w:rPr>
          <w:b/>
          <w:sz w:val="28"/>
          <w:szCs w:val="28"/>
        </w:rPr>
        <w:t>Информация</w:t>
      </w:r>
      <w:r w:rsidR="00C27ED1" w:rsidRPr="00190596">
        <w:rPr>
          <w:b/>
          <w:sz w:val="28"/>
          <w:szCs w:val="28"/>
        </w:rPr>
        <w:t xml:space="preserve"> о </w:t>
      </w:r>
      <w:r w:rsidR="00C12668">
        <w:rPr>
          <w:b/>
          <w:sz w:val="28"/>
          <w:szCs w:val="28"/>
        </w:rPr>
        <w:t>результатах проведения</w:t>
      </w:r>
      <w:r w:rsidR="00C27ED1" w:rsidRPr="00190596">
        <w:rPr>
          <w:b/>
          <w:sz w:val="28"/>
          <w:szCs w:val="28"/>
        </w:rPr>
        <w:t xml:space="preserve"> </w:t>
      </w:r>
      <w:r w:rsidR="00C12668">
        <w:rPr>
          <w:b/>
          <w:sz w:val="28"/>
          <w:szCs w:val="28"/>
        </w:rPr>
        <w:t xml:space="preserve">ревизий </w:t>
      </w:r>
      <w:r w:rsidR="007A153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2013 г.</w:t>
      </w:r>
    </w:p>
    <w:p w:rsidR="00190596" w:rsidRPr="00190596" w:rsidRDefault="00190596" w:rsidP="00190596">
      <w:pPr>
        <w:ind w:firstLine="709"/>
        <w:jc w:val="center"/>
        <w:rPr>
          <w:b/>
          <w:sz w:val="28"/>
          <w:szCs w:val="28"/>
        </w:rPr>
      </w:pPr>
    </w:p>
    <w:p w:rsidR="00C27ED1" w:rsidRDefault="00190596" w:rsidP="0034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27ED1">
        <w:rPr>
          <w:sz w:val="28"/>
          <w:szCs w:val="28"/>
        </w:rPr>
        <w:t>З</w:t>
      </w:r>
      <w:r w:rsidR="00C27ED1" w:rsidRPr="00BE1AFB">
        <w:rPr>
          <w:sz w:val="28"/>
          <w:szCs w:val="28"/>
        </w:rPr>
        <w:t xml:space="preserve">а </w:t>
      </w:r>
      <w:r w:rsidR="00C27ED1">
        <w:rPr>
          <w:sz w:val="28"/>
          <w:szCs w:val="28"/>
        </w:rPr>
        <w:t xml:space="preserve"> </w:t>
      </w:r>
      <w:r w:rsidR="00C27ED1" w:rsidRPr="00BE1AFB">
        <w:rPr>
          <w:sz w:val="28"/>
          <w:szCs w:val="28"/>
        </w:rPr>
        <w:t>201</w:t>
      </w:r>
      <w:r w:rsidR="00C27ED1">
        <w:rPr>
          <w:sz w:val="28"/>
          <w:szCs w:val="28"/>
        </w:rPr>
        <w:t>3</w:t>
      </w:r>
      <w:r w:rsidR="001F3F08">
        <w:rPr>
          <w:sz w:val="28"/>
          <w:szCs w:val="28"/>
        </w:rPr>
        <w:t xml:space="preserve"> </w:t>
      </w:r>
      <w:r w:rsidR="00C27ED1" w:rsidRPr="00BE1AFB">
        <w:rPr>
          <w:sz w:val="28"/>
          <w:szCs w:val="28"/>
        </w:rPr>
        <w:t>г</w:t>
      </w:r>
      <w:r w:rsidR="001F3F08">
        <w:rPr>
          <w:sz w:val="28"/>
          <w:szCs w:val="28"/>
        </w:rPr>
        <w:t>од в</w:t>
      </w:r>
      <w:r w:rsidR="00C27ED1">
        <w:rPr>
          <w:sz w:val="28"/>
          <w:szCs w:val="28"/>
        </w:rPr>
        <w:t xml:space="preserve"> </w:t>
      </w:r>
      <w:r w:rsidR="00C27ED1" w:rsidRPr="00BE1AFB">
        <w:rPr>
          <w:sz w:val="28"/>
          <w:szCs w:val="28"/>
        </w:rPr>
        <w:t xml:space="preserve"> соответствии с планами проведения комплексных ревизий финансовой деятельности органов местного самоуправления, бюджетных учреждений и организаций,  утвержденными главой Кунгурского муниципального района на каждый квартал, специалистами «Управление финансов и налоговой политики Кунгурского муниципального района» проведен</w:t>
      </w:r>
      <w:r w:rsidR="00C27ED1">
        <w:rPr>
          <w:sz w:val="28"/>
          <w:szCs w:val="28"/>
        </w:rPr>
        <w:t>ы</w:t>
      </w:r>
      <w:r w:rsidR="00C27ED1" w:rsidRPr="00BE1AFB">
        <w:rPr>
          <w:sz w:val="28"/>
          <w:szCs w:val="28"/>
        </w:rPr>
        <w:t xml:space="preserve"> провер</w:t>
      </w:r>
      <w:r w:rsidR="007A1537">
        <w:rPr>
          <w:sz w:val="28"/>
          <w:szCs w:val="28"/>
        </w:rPr>
        <w:t xml:space="preserve">ки в </w:t>
      </w:r>
      <w:r w:rsidR="007A1537" w:rsidRPr="007A1537">
        <w:rPr>
          <w:sz w:val="28"/>
          <w:szCs w:val="28"/>
        </w:rPr>
        <w:t>15</w:t>
      </w:r>
      <w:r w:rsidR="00C27ED1">
        <w:rPr>
          <w:sz w:val="28"/>
          <w:szCs w:val="28"/>
        </w:rPr>
        <w:t xml:space="preserve"> учреждениях, в том числе:</w:t>
      </w:r>
      <w:proofErr w:type="gramEnd"/>
    </w:p>
    <w:p w:rsidR="00C27ED1" w:rsidRDefault="007A1537" w:rsidP="00343175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восьми</w:t>
      </w:r>
      <w:r w:rsidR="00C27ED1">
        <w:rPr>
          <w:sz w:val="28"/>
          <w:szCs w:val="28"/>
        </w:rPr>
        <w:t xml:space="preserve"> муниципальных бюджетных образовательных учреждениях: Филипповская основная общеобразовательная школа, Троицкая основная общеобразовательная школа, Кыласовская средняя общеобразовательная школа, </w:t>
      </w:r>
      <w:proofErr w:type="spellStart"/>
      <w:r w:rsidR="00C27ED1">
        <w:rPr>
          <w:sz w:val="28"/>
          <w:szCs w:val="28"/>
        </w:rPr>
        <w:t>Жилинская</w:t>
      </w:r>
      <w:proofErr w:type="spellEnd"/>
      <w:r w:rsidR="00C27ED1">
        <w:rPr>
          <w:sz w:val="28"/>
          <w:szCs w:val="28"/>
        </w:rPr>
        <w:t xml:space="preserve"> осно</w:t>
      </w:r>
      <w:r>
        <w:rPr>
          <w:sz w:val="28"/>
          <w:szCs w:val="28"/>
        </w:rPr>
        <w:t xml:space="preserve">вная общеобразовательная школа, </w:t>
      </w:r>
      <w:proofErr w:type="spellStart"/>
      <w:r w:rsidR="001F3F08">
        <w:rPr>
          <w:sz w:val="28"/>
          <w:szCs w:val="28"/>
        </w:rPr>
        <w:t>Насадская</w:t>
      </w:r>
      <w:proofErr w:type="spellEnd"/>
      <w:r w:rsidR="001F3F08">
        <w:rPr>
          <w:sz w:val="28"/>
          <w:szCs w:val="28"/>
        </w:rPr>
        <w:t xml:space="preserve"> </w:t>
      </w:r>
      <w:r w:rsidR="001F3F08">
        <w:rPr>
          <w:sz w:val="28"/>
          <w:szCs w:val="28"/>
        </w:rPr>
        <w:t>основная общеобразовательная школа</w:t>
      </w:r>
      <w:r w:rsidR="001F3F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Калининская средняя общеобразовательная школа, </w:t>
      </w:r>
      <w:proofErr w:type="spellStart"/>
      <w:r>
        <w:rPr>
          <w:sz w:val="28"/>
          <w:szCs w:val="28"/>
        </w:rPr>
        <w:t>Моховская</w:t>
      </w:r>
      <w:proofErr w:type="spellEnd"/>
      <w:r w:rsidR="00FF3BCB">
        <w:rPr>
          <w:sz w:val="28"/>
          <w:szCs w:val="28"/>
        </w:rPr>
        <w:t xml:space="preserve"> основная общеобразовательная школа, Ленская средняя общеобразовательная школа;</w:t>
      </w:r>
      <w:bookmarkStart w:id="0" w:name="_GoBack"/>
      <w:bookmarkEnd w:id="0"/>
    </w:p>
    <w:p w:rsidR="00C27ED1" w:rsidRDefault="00FF3BCB" w:rsidP="00343175">
      <w:pPr>
        <w:jc w:val="both"/>
        <w:rPr>
          <w:sz w:val="28"/>
          <w:szCs w:val="28"/>
        </w:rPr>
      </w:pPr>
      <w:r>
        <w:rPr>
          <w:sz w:val="28"/>
          <w:szCs w:val="28"/>
        </w:rPr>
        <w:t>-  семи</w:t>
      </w:r>
      <w:r w:rsidR="00C27ED1">
        <w:rPr>
          <w:sz w:val="28"/>
          <w:szCs w:val="28"/>
        </w:rPr>
        <w:t xml:space="preserve"> муниципальных бюджетных дошкольных образовательных учреждениях: Ергачинский де</w:t>
      </w:r>
      <w:r>
        <w:rPr>
          <w:sz w:val="28"/>
          <w:szCs w:val="28"/>
        </w:rPr>
        <w:t xml:space="preserve">тский сад, Троицкий детский сад, Калининский детский сад, Голдыревский детский сад, </w:t>
      </w:r>
      <w:proofErr w:type="spellStart"/>
      <w:r>
        <w:rPr>
          <w:sz w:val="28"/>
          <w:szCs w:val="28"/>
        </w:rPr>
        <w:t>Садоягодный</w:t>
      </w:r>
      <w:proofErr w:type="spellEnd"/>
      <w:r>
        <w:rPr>
          <w:sz w:val="28"/>
          <w:szCs w:val="28"/>
        </w:rPr>
        <w:t xml:space="preserve"> детский сад, </w:t>
      </w:r>
      <w:proofErr w:type="spellStart"/>
      <w:r>
        <w:rPr>
          <w:sz w:val="28"/>
          <w:szCs w:val="28"/>
        </w:rPr>
        <w:t>Семсовхозовский</w:t>
      </w:r>
      <w:proofErr w:type="spellEnd"/>
      <w:r>
        <w:rPr>
          <w:sz w:val="28"/>
          <w:szCs w:val="28"/>
        </w:rPr>
        <w:t xml:space="preserve"> детский сад, Ленский детский сад.</w:t>
      </w:r>
    </w:p>
    <w:p w:rsidR="006F41CE" w:rsidRDefault="00C27ED1" w:rsidP="00343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ревизий выявлено финансовых нарушений на общую сумму </w:t>
      </w:r>
      <w:r w:rsidR="00FF3BCB">
        <w:rPr>
          <w:sz w:val="28"/>
          <w:szCs w:val="28"/>
        </w:rPr>
        <w:t>1041</w:t>
      </w:r>
      <w:r w:rsidR="00454D9F">
        <w:rPr>
          <w:sz w:val="28"/>
          <w:szCs w:val="28"/>
        </w:rPr>
        <w:t>,</w:t>
      </w:r>
      <w:r w:rsidR="00D664BF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 </w:t>
      </w:r>
      <w:r w:rsidR="006F41CE" w:rsidRPr="00BE1AFB">
        <w:rPr>
          <w:sz w:val="28"/>
          <w:szCs w:val="28"/>
        </w:rPr>
        <w:t xml:space="preserve">в том числе: </w:t>
      </w:r>
    </w:p>
    <w:p w:rsidR="006F41CE" w:rsidRPr="00454D9F" w:rsidRDefault="006F41CE" w:rsidP="00343175">
      <w:pPr>
        <w:jc w:val="both"/>
        <w:rPr>
          <w:sz w:val="28"/>
          <w:szCs w:val="28"/>
        </w:rPr>
      </w:pPr>
      <w:r w:rsidRPr="00454D9F">
        <w:rPr>
          <w:sz w:val="28"/>
          <w:szCs w:val="28"/>
        </w:rPr>
        <w:t xml:space="preserve">- переплата </w:t>
      </w:r>
      <w:r w:rsidR="00FF3BCB">
        <w:rPr>
          <w:sz w:val="28"/>
          <w:szCs w:val="28"/>
        </w:rPr>
        <w:t>33,8</w:t>
      </w:r>
      <w:r w:rsidRPr="00454D9F">
        <w:rPr>
          <w:sz w:val="28"/>
          <w:szCs w:val="28"/>
        </w:rPr>
        <w:t xml:space="preserve"> тыс. руб., </w:t>
      </w:r>
    </w:p>
    <w:p w:rsidR="006F41CE" w:rsidRPr="00454D9F" w:rsidRDefault="00FF3BCB" w:rsidP="00343175">
      <w:pPr>
        <w:jc w:val="both"/>
        <w:rPr>
          <w:sz w:val="28"/>
          <w:szCs w:val="28"/>
        </w:rPr>
      </w:pPr>
      <w:r>
        <w:rPr>
          <w:sz w:val="28"/>
          <w:szCs w:val="28"/>
        </w:rPr>
        <w:t>- неправомерное использование бюджетных средств 524</w:t>
      </w:r>
      <w:r w:rsidR="006F41CE" w:rsidRPr="00454D9F">
        <w:rPr>
          <w:sz w:val="28"/>
          <w:szCs w:val="28"/>
        </w:rPr>
        <w:t xml:space="preserve"> тыс. руб., </w:t>
      </w:r>
    </w:p>
    <w:p w:rsidR="006F41CE" w:rsidRPr="00454D9F" w:rsidRDefault="006F41CE" w:rsidP="00343175">
      <w:pPr>
        <w:jc w:val="both"/>
        <w:rPr>
          <w:sz w:val="28"/>
          <w:szCs w:val="28"/>
        </w:rPr>
      </w:pPr>
      <w:r w:rsidRPr="00454D9F">
        <w:rPr>
          <w:sz w:val="28"/>
          <w:szCs w:val="28"/>
        </w:rPr>
        <w:t xml:space="preserve">- нецелевой расход  </w:t>
      </w:r>
      <w:r w:rsidR="00FF3BCB">
        <w:rPr>
          <w:sz w:val="28"/>
          <w:szCs w:val="28"/>
        </w:rPr>
        <w:t>19,8</w:t>
      </w:r>
      <w:r w:rsidRPr="00454D9F">
        <w:rPr>
          <w:sz w:val="28"/>
          <w:szCs w:val="28"/>
        </w:rPr>
        <w:t xml:space="preserve"> тыс. руб., </w:t>
      </w:r>
    </w:p>
    <w:p w:rsidR="006F41CE" w:rsidRDefault="006F41CE" w:rsidP="00343175">
      <w:pPr>
        <w:jc w:val="both"/>
        <w:rPr>
          <w:sz w:val="28"/>
          <w:szCs w:val="28"/>
        </w:rPr>
      </w:pPr>
      <w:r w:rsidRPr="00454D9F">
        <w:rPr>
          <w:sz w:val="28"/>
          <w:szCs w:val="28"/>
        </w:rPr>
        <w:t xml:space="preserve">- неэффективное расходование бюджетных средств </w:t>
      </w:r>
      <w:r w:rsidR="00FF3BCB">
        <w:rPr>
          <w:sz w:val="28"/>
          <w:szCs w:val="28"/>
        </w:rPr>
        <w:t>344,2</w:t>
      </w:r>
      <w:r w:rsidRPr="00454D9F">
        <w:rPr>
          <w:sz w:val="28"/>
          <w:szCs w:val="28"/>
        </w:rPr>
        <w:t xml:space="preserve"> тыс. руб., </w:t>
      </w:r>
    </w:p>
    <w:p w:rsidR="00FF3BCB" w:rsidRDefault="00FF3BCB" w:rsidP="0034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ущерб – 0,6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FF3BCB" w:rsidRPr="00454D9F" w:rsidRDefault="00FF3BCB" w:rsidP="0034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-прочие нарушения 119,3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27ED1" w:rsidRPr="00BE1AFB" w:rsidRDefault="00C27ED1" w:rsidP="00343175">
      <w:pPr>
        <w:jc w:val="both"/>
        <w:rPr>
          <w:sz w:val="28"/>
          <w:szCs w:val="28"/>
        </w:rPr>
      </w:pPr>
    </w:p>
    <w:p w:rsidR="00C27ED1" w:rsidRDefault="00C27ED1" w:rsidP="00343175">
      <w:pPr>
        <w:pStyle w:val="a3"/>
        <w:rPr>
          <w:sz w:val="20"/>
        </w:rPr>
      </w:pPr>
    </w:p>
    <w:p w:rsidR="00C27ED1" w:rsidRDefault="00C27ED1" w:rsidP="00343175">
      <w:pPr>
        <w:pStyle w:val="a3"/>
        <w:rPr>
          <w:sz w:val="20"/>
        </w:rPr>
      </w:pPr>
    </w:p>
    <w:p w:rsidR="00C27ED1" w:rsidRDefault="00C27ED1" w:rsidP="00343175">
      <w:pPr>
        <w:pStyle w:val="a3"/>
        <w:rPr>
          <w:sz w:val="20"/>
        </w:rPr>
      </w:pPr>
    </w:p>
    <w:p w:rsidR="00C27ED1" w:rsidRDefault="00C27ED1" w:rsidP="00343175">
      <w:pPr>
        <w:pStyle w:val="a3"/>
        <w:rPr>
          <w:sz w:val="20"/>
        </w:rPr>
      </w:pPr>
    </w:p>
    <w:p w:rsidR="00C27ED1" w:rsidRDefault="00C27ED1" w:rsidP="00556F01">
      <w:pPr>
        <w:pStyle w:val="a3"/>
        <w:ind w:left="-142" w:firstLine="142"/>
        <w:rPr>
          <w:sz w:val="20"/>
        </w:rPr>
      </w:pPr>
    </w:p>
    <w:p w:rsidR="00C27ED1" w:rsidRDefault="00C27ED1" w:rsidP="00556F01">
      <w:pPr>
        <w:pStyle w:val="a3"/>
        <w:ind w:left="-142" w:firstLine="142"/>
        <w:rPr>
          <w:sz w:val="20"/>
        </w:rPr>
      </w:pPr>
    </w:p>
    <w:p w:rsidR="00C27ED1" w:rsidRDefault="00C27ED1" w:rsidP="00556F01">
      <w:pPr>
        <w:pStyle w:val="a3"/>
        <w:ind w:left="-142" w:firstLine="142"/>
        <w:rPr>
          <w:sz w:val="20"/>
        </w:rPr>
      </w:pPr>
    </w:p>
    <w:sectPr w:rsidR="00C27ED1" w:rsidSect="00343175">
      <w:pgSz w:w="11907" w:h="16840"/>
      <w:pgMar w:top="993" w:right="850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53"/>
    <w:rsid w:val="00000C53"/>
    <w:rsid w:val="001724AE"/>
    <w:rsid w:val="00190596"/>
    <w:rsid w:val="001F3F08"/>
    <w:rsid w:val="00237514"/>
    <w:rsid w:val="00343175"/>
    <w:rsid w:val="003A5C91"/>
    <w:rsid w:val="00454D9F"/>
    <w:rsid w:val="00556F01"/>
    <w:rsid w:val="00592100"/>
    <w:rsid w:val="006C72AC"/>
    <w:rsid w:val="006F41CE"/>
    <w:rsid w:val="00734612"/>
    <w:rsid w:val="007A1537"/>
    <w:rsid w:val="007D32AB"/>
    <w:rsid w:val="00811BB4"/>
    <w:rsid w:val="009F618E"/>
    <w:rsid w:val="00A71D05"/>
    <w:rsid w:val="00AA5EFA"/>
    <w:rsid w:val="00AE0F9D"/>
    <w:rsid w:val="00C12668"/>
    <w:rsid w:val="00C27ED1"/>
    <w:rsid w:val="00D214B3"/>
    <w:rsid w:val="00D664BF"/>
    <w:rsid w:val="00E82B23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7ED1"/>
    <w:pPr>
      <w:keepNext/>
      <w:framePr w:w="5105" w:h="2305" w:hSpace="141" w:wrap="around" w:vAnchor="text" w:hAnchor="page" w:x="714" w:y="1165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7E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27ED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7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C27ED1"/>
    <w:pPr>
      <w:framePr w:w="4911" w:h="2803" w:hSpace="141" w:wrap="around" w:vAnchor="text" w:hAnchor="page" w:x="714" w:y="1299"/>
      <w:spacing w:before="20"/>
      <w:jc w:val="center"/>
    </w:pPr>
    <w:rPr>
      <w:b/>
      <w:sz w:val="24"/>
    </w:rPr>
  </w:style>
  <w:style w:type="character" w:styleId="a6">
    <w:name w:val="Hyperlink"/>
    <w:rsid w:val="00C27ED1"/>
    <w:rPr>
      <w:color w:val="0000FF"/>
      <w:u w:val="single"/>
    </w:rPr>
  </w:style>
  <w:style w:type="paragraph" w:customStyle="1" w:styleId="a7">
    <w:name w:val="Знак Знак Знак Знак"/>
    <w:basedOn w:val="a"/>
    <w:rsid w:val="00C27ED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9F61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1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7ED1"/>
    <w:pPr>
      <w:keepNext/>
      <w:framePr w:w="5105" w:h="2305" w:hSpace="141" w:wrap="around" w:vAnchor="text" w:hAnchor="page" w:x="714" w:y="1165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7E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27ED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7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C27ED1"/>
    <w:pPr>
      <w:framePr w:w="4911" w:h="2803" w:hSpace="141" w:wrap="around" w:vAnchor="text" w:hAnchor="page" w:x="714" w:y="1299"/>
      <w:spacing w:before="20"/>
      <w:jc w:val="center"/>
    </w:pPr>
    <w:rPr>
      <w:b/>
      <w:sz w:val="24"/>
    </w:rPr>
  </w:style>
  <w:style w:type="character" w:styleId="a6">
    <w:name w:val="Hyperlink"/>
    <w:rsid w:val="00C27ED1"/>
    <w:rPr>
      <w:color w:val="0000FF"/>
      <w:u w:val="single"/>
    </w:rPr>
  </w:style>
  <w:style w:type="paragraph" w:customStyle="1" w:styleId="a7">
    <w:name w:val="Знак Знак Знак Знак"/>
    <w:basedOn w:val="a"/>
    <w:rsid w:val="00C27ED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9F61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E358-CE95-4D4B-AAED-5B30621C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уфинп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kozlova_pv</dc:creator>
  <cp:keywords/>
  <dc:description/>
  <cp:lastModifiedBy>sajina_oa</cp:lastModifiedBy>
  <cp:revision>13</cp:revision>
  <cp:lastPrinted>2013-07-11T08:19:00Z</cp:lastPrinted>
  <dcterms:created xsi:type="dcterms:W3CDTF">2013-07-11T02:27:00Z</dcterms:created>
  <dcterms:modified xsi:type="dcterms:W3CDTF">2014-03-14T04:54:00Z</dcterms:modified>
</cp:coreProperties>
</file>