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D8" w:rsidRPr="00D5550D" w:rsidRDefault="009477D8" w:rsidP="009477D8">
      <w:pPr>
        <w:pStyle w:val="a3"/>
        <w:spacing w:line="240" w:lineRule="exact"/>
        <w:ind w:left="9923" w:firstLine="0"/>
      </w:pPr>
      <w:r w:rsidRPr="00D5550D">
        <w:t>Приложение к письму</w:t>
      </w:r>
      <w:r w:rsidRPr="00D5550D">
        <w:br/>
        <w:t>Министерства по управлению имуществом и</w:t>
      </w:r>
      <w:r>
        <w:t xml:space="preserve"> </w:t>
      </w:r>
      <w:r w:rsidRPr="00D5550D">
        <w:t>земельным отношениям Пермского края</w:t>
      </w:r>
    </w:p>
    <w:p w:rsidR="009477D8" w:rsidRDefault="009477D8" w:rsidP="009477D8">
      <w:pPr>
        <w:pStyle w:val="a3"/>
        <w:spacing w:line="240" w:lineRule="exact"/>
        <w:ind w:left="9923" w:firstLine="0"/>
      </w:pPr>
      <w:r w:rsidRPr="00D5550D">
        <w:t xml:space="preserve">от </w:t>
      </w:r>
      <w:r>
        <w:t xml:space="preserve">                                 </w:t>
      </w:r>
      <w:r w:rsidRPr="00D5550D">
        <w:t>№</w:t>
      </w:r>
    </w:p>
    <w:p w:rsidR="009477D8" w:rsidRDefault="009477D8" w:rsidP="009477D8">
      <w:pPr>
        <w:pStyle w:val="a3"/>
        <w:jc w:val="right"/>
      </w:pPr>
    </w:p>
    <w:p w:rsidR="009477D8" w:rsidRDefault="009477D8" w:rsidP="009477D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4"/>
          <w:sz w:val="28"/>
          <w:szCs w:val="28"/>
        </w:rPr>
      </w:pPr>
      <w:r w:rsidRPr="00D5550D">
        <w:rPr>
          <w:b/>
          <w:spacing w:val="-4"/>
          <w:sz w:val="28"/>
          <w:szCs w:val="28"/>
        </w:rPr>
        <w:t xml:space="preserve">Сроки проведения государственной регистрации прав </w:t>
      </w:r>
      <w:r w:rsidRPr="00D5550D">
        <w:rPr>
          <w:b/>
          <w:spacing w:val="-4"/>
          <w:sz w:val="28"/>
          <w:szCs w:val="28"/>
        </w:rPr>
        <w:br/>
        <w:t xml:space="preserve">на недвижимое имущество и сделок с ним в Пермском крае с 01.05.2016 года  </w:t>
      </w:r>
    </w:p>
    <w:p w:rsidR="009477D8" w:rsidRDefault="009477D8" w:rsidP="009477D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4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6"/>
        <w:gridCol w:w="4962"/>
      </w:tblGrid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8" w:rsidRPr="00AD06CC" w:rsidRDefault="009477D8" w:rsidP="00691AEA">
            <w:pPr>
              <w:jc w:val="center"/>
              <w:rPr>
                <w:b/>
                <w:sz w:val="22"/>
                <w:szCs w:val="22"/>
              </w:rPr>
            </w:pPr>
            <w:r w:rsidRPr="00AD06C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06C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D06CC">
              <w:rPr>
                <w:b/>
                <w:sz w:val="22"/>
                <w:szCs w:val="22"/>
              </w:rPr>
              <w:t>/</w:t>
            </w:r>
            <w:proofErr w:type="spellStart"/>
            <w:r w:rsidRPr="00AD06C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8" w:rsidRPr="00AD06CC" w:rsidRDefault="009477D8" w:rsidP="00691AEA">
            <w:pPr>
              <w:jc w:val="center"/>
              <w:rPr>
                <w:b/>
                <w:sz w:val="22"/>
                <w:szCs w:val="22"/>
              </w:rPr>
            </w:pPr>
            <w:r w:rsidRPr="00AD06CC">
              <w:rPr>
                <w:b/>
                <w:sz w:val="22"/>
                <w:szCs w:val="22"/>
              </w:rPr>
              <w:t>Вид регистрационного действия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8" w:rsidRPr="00AD06CC" w:rsidRDefault="009477D8" w:rsidP="00691AEA">
            <w:pPr>
              <w:jc w:val="center"/>
              <w:rPr>
                <w:b/>
                <w:sz w:val="22"/>
                <w:szCs w:val="22"/>
              </w:rPr>
            </w:pPr>
            <w:r w:rsidRPr="00AD06CC">
              <w:rPr>
                <w:b/>
                <w:sz w:val="22"/>
                <w:szCs w:val="22"/>
              </w:rPr>
              <w:t>Срок проведения государственной регистрации, установленный законом или сокращенный Управлением срок проведения государственной регистрации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8" w:rsidRPr="00AD06CC" w:rsidRDefault="009477D8" w:rsidP="00691AEA">
            <w:pPr>
              <w:jc w:val="center"/>
              <w:rPr>
                <w:b/>
                <w:sz w:val="22"/>
                <w:szCs w:val="22"/>
              </w:rPr>
            </w:pPr>
            <w:r w:rsidRPr="00AD06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8" w:rsidRPr="00AD06CC" w:rsidRDefault="009477D8" w:rsidP="00691AEA">
            <w:pPr>
              <w:jc w:val="center"/>
              <w:rPr>
                <w:b/>
                <w:sz w:val="22"/>
                <w:szCs w:val="22"/>
              </w:rPr>
            </w:pPr>
            <w:r w:rsidRPr="00AD06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7D8" w:rsidRPr="00AD06CC" w:rsidRDefault="009477D8" w:rsidP="00691AEA">
            <w:pPr>
              <w:jc w:val="center"/>
              <w:rPr>
                <w:b/>
                <w:sz w:val="22"/>
                <w:szCs w:val="22"/>
              </w:rPr>
            </w:pPr>
            <w:r w:rsidRPr="00AD06CC">
              <w:rPr>
                <w:b/>
                <w:sz w:val="22"/>
                <w:szCs w:val="22"/>
              </w:rPr>
              <w:t>3</w:t>
            </w:r>
          </w:p>
        </w:tc>
      </w:tr>
      <w:tr w:rsidR="009477D8" w:rsidRPr="00AD06CC" w:rsidTr="00691AEA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D8" w:rsidRPr="00AD06CC" w:rsidRDefault="009477D8" w:rsidP="00691AEA">
            <w:pPr>
              <w:jc w:val="center"/>
              <w:rPr>
                <w:i/>
              </w:rPr>
            </w:pPr>
            <w:r w:rsidRPr="00AD06CC">
              <w:rPr>
                <w:i/>
              </w:rPr>
              <w:t xml:space="preserve">В случае предоставления документов заявителем (представителем заявителя) </w:t>
            </w:r>
            <w:r w:rsidRPr="00AD06CC">
              <w:rPr>
                <w:b/>
                <w:i/>
              </w:rPr>
              <w:t>лично или посредством почтового отправления</w:t>
            </w:r>
            <w:r w:rsidRPr="00AD06CC">
              <w:rPr>
                <w:i/>
              </w:rPr>
              <w:t xml:space="preserve"> с объявленной ценностью при его пересылке, описью вложения и уведомлением о вручении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both"/>
            </w:pPr>
            <w:r w:rsidRPr="00AD06CC">
              <w:t>регистрация ипотеки, возникающей в силу закона или договора, договора об ипотеке, дополнительного соглашения к нему, внесения изменений на основании дополнительного соглашения к договору ипотеки на нежилые помещения, земельные участки*, здания, сооружения</w:t>
            </w:r>
          </w:p>
          <w:p w:rsidR="009477D8" w:rsidRPr="00AD06CC" w:rsidRDefault="009477D8" w:rsidP="00691A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ヒラギノ角ゴ Pro W3"/>
                <w:i/>
                <w:spacing w:val="-4"/>
              </w:rPr>
            </w:pPr>
            <w:r w:rsidRPr="00AD06CC">
              <w:rPr>
                <w:rFonts w:eastAsia="ヒラギノ角ゴ Pro W3"/>
                <w:i/>
                <w:szCs w:val="20"/>
              </w:rPr>
              <w:t xml:space="preserve">*ипотека земельного участка осуществляется в сроки, предусмотренные для государственной регистрации ипотеки </w:t>
            </w:r>
            <w:proofErr w:type="gramStart"/>
            <w:r w:rsidRPr="00AD06CC">
              <w:rPr>
                <w:rFonts w:eastAsia="ヒラギノ角ゴ Pro W3"/>
                <w:i/>
                <w:szCs w:val="20"/>
              </w:rPr>
              <w:t>находящихся</w:t>
            </w:r>
            <w:proofErr w:type="gramEnd"/>
            <w:r w:rsidRPr="00AD06CC">
              <w:rPr>
                <w:rFonts w:eastAsia="ヒラギノ角ゴ Pro W3"/>
                <w:i/>
                <w:szCs w:val="20"/>
              </w:rPr>
              <w:t xml:space="preserve"> на данном земельном участке здания, строения или сооружения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ind w:right="-108" w:hanging="108"/>
              <w:jc w:val="center"/>
            </w:pPr>
            <w:r w:rsidRPr="00AD06CC">
              <w:t>в течение 5 (пяти) рабочих дней</w:t>
            </w:r>
            <w:proofErr w:type="gramStart"/>
            <w:r w:rsidRPr="00AD06CC">
              <w:rPr>
                <w:vertAlign w:val="superscript"/>
              </w:rPr>
              <w:t>1</w:t>
            </w:r>
            <w:proofErr w:type="gramEnd"/>
            <w:r w:rsidRPr="00AD06CC">
              <w:t xml:space="preserve"> 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ind w:hanging="1385"/>
              <w:jc w:val="both"/>
            </w:pPr>
            <w:r w:rsidRPr="00AD06CC">
              <w:t>регистрация ипотеки, возникающей в силу закона или договора, договора об ипотеке, дополнительного соглашения к нему, внесения изменений на основании дополнительного соглашения к договору ипотеки на жилые помещения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регистрация ипотеки земельных участков, зданий, сооружений, нежилых помещений, если ипотека возникла в силу нотариально удостоверенного договора об ипотеке или нотариально удостоверенного договора, влекущего за собой возникновение ипотеки в силу закона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 xml:space="preserve">в течение 3 (трех) рабочих дней 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both"/>
            </w:pPr>
            <w:r w:rsidRPr="00AD06CC">
              <w:t>регистрация перехода прав и права собственности на здания, сооружения, возведенные на земельном участке, являющемся предметом договора об ипотеке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both"/>
            </w:pPr>
            <w:r w:rsidRPr="00AD06CC">
              <w:t>регистрация перехода прав и права собственности на жилые помещения, нежилые помещения, здания, сооружения, земельные участки, приобретаемые за счет сре</w:t>
            </w:r>
            <w:proofErr w:type="gramStart"/>
            <w:r w:rsidRPr="00AD06CC">
              <w:t xml:space="preserve">дств </w:t>
            </w:r>
            <w:r w:rsidRPr="00AD06CC">
              <w:lastRenderedPageBreak/>
              <w:t>кр</w:t>
            </w:r>
            <w:proofErr w:type="gramEnd"/>
            <w:r w:rsidRPr="00AD06CC">
              <w:t>едитных организаций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lastRenderedPageBreak/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both"/>
            </w:pPr>
            <w:r w:rsidRPr="00AD06CC">
              <w:t>регистрация перехода прав на жилые помещения, приобретаемые по жилищным сертификатам, а также за счет предоставления субсидий из бюджета на основании программ, утвержденных соответствующими нормативными правовыми актами, перехода права собственности на такие жилые помещения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регистрация возникновения и перехода права собственности на жилые помещения, которые предоставляются гражданам в соответствии с Федеральным законом от 21.07.2007 № 185-ФЗ «О фонде содействия реформированию жилищно-коммунального хозяйства»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both"/>
            </w:pPr>
            <w:proofErr w:type="gramStart"/>
            <w:r w:rsidRPr="00AD06CC">
              <w:t>регистрация прав субъектов малого и среднего предпринимательства на объекты недвижимого имущества, находящиеся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предпринимательства, в соответствии Федеральным законом от 22.07.2008                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      </w:r>
            <w:proofErr w:type="gramEnd"/>
            <w:r w:rsidRPr="00AD06CC">
              <w:t xml:space="preserve"> </w:t>
            </w:r>
            <w:proofErr w:type="gramStart"/>
            <w:r w:rsidRPr="00AD06CC">
              <w:t>внесении</w:t>
            </w:r>
            <w:proofErr w:type="gramEnd"/>
            <w:r w:rsidRPr="00AD06CC">
              <w:t xml:space="preserve"> изменений в отдельные законодательные акты Российской Федерации»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 xml:space="preserve">регистрация договора участия в долевом строительстве, заключенного застройщиком с первым участником долевого строительства многоквартирного дома и (или) иного объекта недвижимости, независимо от наличия залога права требования, вытекающего из данного договора участия в долевом строительстве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10 (десяти)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9.1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регистрация последующих договоров участия в долевом строительстве</w:t>
            </w:r>
          </w:p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both"/>
            </w:pPr>
            <w:r w:rsidRPr="00AD06CC">
              <w:t>регистрация права собственности, возникшего на основании договора долевого участия в строительстве многоквартирного дома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both"/>
            </w:pPr>
            <w:r w:rsidRPr="00AD06CC">
              <w:t>регистрация залога права требования по договору участия в долевом строительстве, дополнительного соглашения к нему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both"/>
            </w:pPr>
            <w:r w:rsidRPr="00AD06CC">
              <w:t>регистрация договора уступки по договору участия в долевом строительстве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both"/>
            </w:pPr>
            <w:r w:rsidRPr="00AD06CC">
              <w:t>выдача повторного свидетельства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13.1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both"/>
            </w:pPr>
            <w:r w:rsidRPr="00AD06CC">
              <w:t>выдача повторного свидетельства одновременно с погашением записи об обременении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срока, предусмотренного для определенного регистрационного действия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Default="009477D8" w:rsidP="00691AEA">
            <w:pPr>
              <w:jc w:val="both"/>
            </w:pPr>
            <w:r w:rsidRPr="00AD06CC">
              <w:t>внесение изменений в Единый государственный реестр прав</w:t>
            </w:r>
          </w:p>
          <w:p w:rsidR="009477D8" w:rsidRPr="00AD06CC" w:rsidRDefault="009477D8" w:rsidP="00691AEA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  <w:rPr>
                <w:vertAlign w:val="superscript"/>
              </w:rPr>
            </w:pPr>
            <w:r w:rsidRPr="00AD06CC">
              <w:lastRenderedPageBreak/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lastRenderedPageBreak/>
              <w:t>14.1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both"/>
            </w:pPr>
            <w:r w:rsidRPr="00AD06CC">
              <w:t>внесение изменений в Единый государственный реестр прав одновременно с государственной регистрацией перехода прав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срока, предусмотренного для определенного регистрационного действия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both"/>
            </w:pPr>
            <w:r w:rsidRPr="00AD06CC">
              <w:t>погашение записи об ипотеке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3 (трех)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 xml:space="preserve">погашение записи об ипотеке, возникшей в силу Федерального </w:t>
            </w:r>
            <w:hyperlink r:id="rId5" w:history="1">
              <w:r w:rsidRPr="00AD06CC">
                <w:rPr>
                  <w:rFonts w:eastAsia="Calibri"/>
                </w:rPr>
                <w:t>закона</w:t>
              </w:r>
            </w:hyperlink>
            <w:r w:rsidRPr="00AD06CC">
              <w:rPr>
                <w:rFonts w:eastAsia="Calibri"/>
              </w:rPr>
      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3 (трех)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исправление технических ошибок, допущенных при государственной регистрации прав, в соответствии  с п. 1 ст. 21 ФЗ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3 (трех)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выдача залогодержателю закладной, если закладная составляется после регистрации ипотеки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1 (одного) дня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регистрация соглашения об изменении содержания закладной с указанием в тексте самой закладной на соглашение как на документ, являющийся неотъемлемой частью закладной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1 (одного) дня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внесение в ЕГРП записи о законном владельце закладной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1 (одного) дня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регистрация прав на основании нотариально удостоверенных документов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06CC">
              <w:rPr>
                <w:rFonts w:eastAsia="Calibri"/>
              </w:rPr>
              <w:t>в течение 3 (трех) рабочих дней, следующих за днем приема заявления и документов, необходимых для государственной регистрации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регистрация в упрощенном порядке права собственности на отдельные объекты недвижимого имущества, в том числе: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22.1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0"/>
            </w:pPr>
            <w:r w:rsidRPr="00AD06CC">
              <w:t>на земельные участки, предоставленные до введения в действие Земельного кодекса Российской Федерации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10 (десяти)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22.2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0"/>
            </w:pPr>
            <w:r w:rsidRPr="00AD06CC">
              <w:t>на создаваемые или созданные объекты недвижимого имущества, если для строительства, реконструкции такого объекта недвижимого имущества в соответствии с законодательством Российской Федерации не требуется выдача разрешения на строительство;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10 (десяти)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22.3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Default="009477D8" w:rsidP="00691AEA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AD06CC">
              <w:t xml:space="preserve">на объекты индивидуального жилищного строительства, создаваемые или созданные на земельном участке, предназначенном для индивидуального жилищного строительства, либо создаваемый или созданный на земельном участке, расположенном в черте поселения и предназначенном для ведения личного подсобного хозяйства (на </w:t>
            </w:r>
            <w:r w:rsidRPr="00AD06CC">
              <w:lastRenderedPageBreak/>
              <w:t>приусадебном земельном участке)</w:t>
            </w:r>
            <w:proofErr w:type="gramEnd"/>
          </w:p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lastRenderedPageBreak/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lastRenderedPageBreak/>
              <w:t>22.4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AD06CC">
              <w:t xml:space="preserve">на отдельные объекты недвижимого имущества на основании заявлений исполнительных органов государственной власти и органов местного самоуправления  в порядке </w:t>
            </w:r>
            <w:hyperlink r:id="rId6" w:history="1">
              <w:r w:rsidRPr="00AD06CC">
                <w:t>ст. 12 Федерального закона от 30.06.2006 № 93-ФЗ (в ред. Федерального закона от 28.02.2012 № 8-ФЗ)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        </w:r>
            </w:hyperlink>
            <w:r w:rsidRPr="00AD06CC">
              <w:t>«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  <w:rPr>
                <w:vertAlign w:val="superscript"/>
              </w:rPr>
            </w:pPr>
            <w:r w:rsidRPr="00AD06CC">
              <w:t>в течение 7 (семи) рабочих дней</w:t>
            </w:r>
            <w:proofErr w:type="gramStart"/>
            <w:r w:rsidRPr="00AD06CC">
              <w:rPr>
                <w:vertAlign w:val="superscript"/>
              </w:rPr>
              <w:t>2</w:t>
            </w:r>
            <w:proofErr w:type="gramEnd"/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регистрация права собственности на основании вступивших в законную силу судебных актов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  <w:rPr>
                <w:vertAlign w:val="superscript"/>
              </w:rPr>
            </w:pPr>
            <w:r w:rsidRPr="00AD06CC">
              <w:t>в течение 7  (семи) рабочих дней</w:t>
            </w:r>
            <w:proofErr w:type="gramStart"/>
            <w:r w:rsidRPr="00AD06CC">
              <w:rPr>
                <w:vertAlign w:val="superscript"/>
              </w:rPr>
              <w:t>2</w:t>
            </w:r>
            <w:proofErr w:type="gramEnd"/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регистрация арестов недвижимого имущества и залога, избранного в качестве меры пресечения в соответствии с уголовно-процессуальным законодательством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1 (одного) рабочего дня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регистрация перехода права собственности на недвижимое имущество в результате обращения залогодержателем взыскания на него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регистрация перехода прав на основании договоров купли-продажи на жилые помещения, нежилые помещения, земельные участки и иные объекты недвижимости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 xml:space="preserve">регистрация ограничения (обременения) права собственности на жилое помещение, возникающего на основании договора найма такого жилого помещения, заключенного на срок не менее года, или на основании </w:t>
            </w:r>
            <w:proofErr w:type="gramStart"/>
            <w:r w:rsidRPr="00AD06CC">
              <w:t>договора найма жилого помещения жилищного фонда социального использования</w:t>
            </w:r>
            <w:proofErr w:type="gramEnd"/>
            <w:r w:rsidRPr="00AD06CC">
              <w:t xml:space="preserve"> в порядке, установленном ст. 26.1. Закона о регистрации, государственная регистрация прекращения найма жилого помещения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AD06CC">
              <w:rPr>
                <w:rFonts w:eastAsia="Calibri"/>
              </w:rPr>
              <w:t>регистрация возникшего до введения в действие Федерального закона от 21.07.1997 № 122-ФЗ «О государственной регистрации прав на недвижимое имущество и сделок с ним» права на объект недвижимого имущества и государственная регистрация возникших после введения в действие указанного закона перехода данного права, его ограничения (обременения) или совершенной после введения в указанного закона сделки с объектом недвижимого имущества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t>в течение 10 (десяти)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>по видам регистрационных действий, не указанным в пунктах 1 - 28, в том числе регистрация перехода прав на основании договоров мены, дарения на объекты недвижимости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  <w:rPr>
                <w:vertAlign w:val="superscript"/>
              </w:rPr>
            </w:pPr>
            <w:r w:rsidRPr="00AD06CC">
              <w:t>в течение 5  (пяти) рабочих дней</w:t>
            </w:r>
            <w:proofErr w:type="gramStart"/>
            <w:r w:rsidRPr="00AD06CC">
              <w:rPr>
                <w:vertAlign w:val="superscript"/>
              </w:rPr>
              <w:t>2</w:t>
            </w:r>
            <w:proofErr w:type="gramEnd"/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r w:rsidRPr="00AD06CC">
              <w:t xml:space="preserve">в случае представления заявления о государственной регистрации прав и иных документов, необходимых для государственной регистрации прав, одновременно с </w:t>
            </w:r>
            <w:r w:rsidRPr="00AD06CC">
              <w:lastRenderedPageBreak/>
              <w:t xml:space="preserve">заявлением о государственном кадастровом учете недвижимого имущества </w:t>
            </w:r>
            <w:r w:rsidRPr="00AD06CC">
              <w:rPr>
                <w:spacing w:val="-6"/>
              </w:rPr>
              <w:t>(«Единое окно»)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lastRenderedPageBreak/>
              <w:t xml:space="preserve">в течение срока, предусмотренного для определенного регистрационного действия со </w:t>
            </w:r>
            <w:r w:rsidRPr="00AD06CC">
              <w:lastRenderedPageBreak/>
              <w:t>дня внесения в государственный кадастр недвижимости сведений о соответствующем объекте недвижимости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both"/>
              <w:rPr>
                <w:sz w:val="28"/>
                <w:szCs w:val="20"/>
                <w:lang/>
              </w:rPr>
            </w:pPr>
            <w:r w:rsidRPr="00AD06CC">
              <w:rPr>
                <w:rFonts w:eastAsia="ヒラギノ角ゴ Pro W3"/>
                <w:spacing w:val="-4"/>
              </w:rPr>
              <w:t>в случаях, если вместе с заявлением о государственной регистрации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</w:t>
            </w:r>
            <w:r w:rsidRPr="00AD06CC">
              <w:t>.</w:t>
            </w:r>
          </w:p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  <w:rPr>
                <w:lang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 xml:space="preserve">в течение срока, предусмотренного для определенного регистрационного действия, с момента принятия документов к рассмотрению (не позднее 10 (десяти) дней </w:t>
            </w:r>
            <w:r w:rsidRPr="00AD06CC">
              <w:rPr>
                <w:rFonts w:eastAsia="ヒラギノ角ゴ Pro W3"/>
                <w:spacing w:val="-4"/>
              </w:rPr>
              <w:t>со дня их представления)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D06CC">
              <w:t xml:space="preserve">регистрация прав, ограничений (обременений) прав в отношении недвижимого имущества, непосредственно связанного с реализацией инвестиционного проекта,  имеющего статус </w:t>
            </w:r>
            <w:r w:rsidRPr="00AD06CC">
              <w:rPr>
                <w:b/>
              </w:rPr>
              <w:t>«приоритетный»</w:t>
            </w:r>
            <w:r w:rsidRPr="00AD06CC">
              <w:t>, присвоенный в порядке, установленном Правительством Пермского края и (или) соглашением о государственно-частном партнерстве (на основании информации, предоставленной Агентством по инвестициям и внешнеэкономическим связям Пермского края и предъявленной при приеме документов на государственную регистрацию прав)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jc w:val="center"/>
            </w:pPr>
            <w:r w:rsidRPr="00AD06CC">
              <w:t>в течение 4 (четырех) рабочих дней</w:t>
            </w:r>
          </w:p>
        </w:tc>
      </w:tr>
      <w:tr w:rsidR="009477D8" w:rsidRPr="00AD06CC" w:rsidTr="00691AEA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jc w:val="center"/>
            </w:pPr>
            <w:r w:rsidRPr="00AD06CC">
              <w:rPr>
                <w:i/>
              </w:rPr>
              <w:t xml:space="preserve">В случае предоставления документов </w:t>
            </w:r>
            <w:r w:rsidRPr="00AD06CC">
              <w:rPr>
                <w:b/>
                <w:i/>
              </w:rPr>
              <w:t>в форме электронных документов, электронных образов документов</w:t>
            </w:r>
            <w:r w:rsidRPr="00AD06CC">
              <w:rPr>
                <w:i/>
              </w:rPr>
              <w:t xml:space="preserve"> с использованием информационно-телекоммуникационных сетей общего пользования, в том числе, сети «Интернет», включая единый портал государственных и муниципальных услуг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регистрация прав, ограничений (обременений) прав на основании нотариально удостоверенных документов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AD06CC">
              <w:rPr>
                <w:rFonts w:eastAsia="Calibri"/>
              </w:rPr>
              <w:t>не позднее чем в течение 1 (одного) рабочего дня, следующего за днем приема документов, необходимых для государственной регистрации прав, и заявления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AD06CC">
              <w:t xml:space="preserve">регистрация прав, ограничений (обременений) прав в отношении недвижимого имущества, непосредственно связанного с реализацией инвестиционного проекта,  имеющего статус </w:t>
            </w:r>
            <w:r w:rsidRPr="00AD06CC">
              <w:rPr>
                <w:b/>
              </w:rPr>
              <w:t>«приоритетный»</w:t>
            </w:r>
            <w:r w:rsidRPr="00AD06CC">
              <w:t>, присвоенный в порядке, установленном Правительством Пермского края и (или) соглашением о государственно-частном партнерстве (на основании информации, предоставленной Агентством по инвестициям и внешнеэкономическим связям Пермского края и предъявленной при приеме документов на государственную регистрацию прав)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AD06CC">
              <w:rPr>
                <w:rFonts w:eastAsia="Calibri"/>
              </w:rPr>
              <w:t>в течение 3 (трех)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AD06CC">
              <w:rPr>
                <w:rFonts w:eastAsia="Calibri"/>
              </w:rPr>
              <w:t xml:space="preserve">регистрация права, ограничения (обременения) права либо сделки на основании заявления соответствующих органа государственной власти или органа местного самоуправления в случае, если право, ограничение (обременение) права на недвижимое имущество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</w:t>
            </w:r>
            <w:r w:rsidRPr="00AD06CC">
              <w:rPr>
                <w:rFonts w:eastAsia="Calibri"/>
              </w:rPr>
              <w:lastRenderedPageBreak/>
              <w:t>местного самоуправления, в том числе сделки, совершенной на основании акта органа государственной</w:t>
            </w:r>
            <w:proofErr w:type="gramEnd"/>
            <w:r w:rsidRPr="00AD06CC">
              <w:rPr>
                <w:rFonts w:eastAsia="Calibri"/>
              </w:rPr>
              <w:t xml:space="preserve"> власти или акта органа местного самоуправления.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AD06CC">
              <w:rPr>
                <w:rFonts w:eastAsia="Calibri"/>
              </w:rPr>
              <w:lastRenderedPageBreak/>
              <w:t>в течение 5 (пяти) рабочих дней</w:t>
            </w:r>
          </w:p>
        </w:tc>
      </w:tr>
      <w:tr w:rsidR="009477D8" w:rsidRPr="00AD06CC" w:rsidTr="00691A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D06CC">
              <w:rPr>
                <w:rFonts w:eastAsia="Calibri"/>
              </w:rPr>
              <w:t>по видам регистрационных действий, не указанным в пунктах 33-35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D8" w:rsidRPr="00AD06CC" w:rsidRDefault="009477D8" w:rsidP="00691AEA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vertAlign w:val="superscript"/>
              </w:rPr>
            </w:pPr>
            <w:r w:rsidRPr="00AD06CC">
              <w:rPr>
                <w:rFonts w:eastAsia="Calibri"/>
              </w:rPr>
              <w:t>в течение 7 (семи) рабочих дней</w:t>
            </w:r>
            <w:r w:rsidRPr="00AD06CC">
              <w:rPr>
                <w:rFonts w:eastAsia="Calibri"/>
                <w:vertAlign w:val="superscript"/>
              </w:rPr>
              <w:t>3</w:t>
            </w:r>
          </w:p>
        </w:tc>
      </w:tr>
    </w:tbl>
    <w:p w:rsidR="00BC3C23" w:rsidRDefault="00BC3C23"/>
    <w:sectPr w:rsidR="00BC3C23" w:rsidSect="00947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CBD"/>
    <w:multiLevelType w:val="hybridMultilevel"/>
    <w:tmpl w:val="7A72E3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7D8"/>
    <w:rsid w:val="00602A2A"/>
    <w:rsid w:val="009477D8"/>
    <w:rsid w:val="00BC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77D8"/>
    <w:pPr>
      <w:spacing w:line="360" w:lineRule="exact"/>
      <w:ind w:firstLine="720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9477D8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ADFECCD7924A15390080D5981CB2BC2B7D9BA1D4B6F89F9DCE08EFB8503445AD3C6EE8j1M" TargetMode="External"/><Relationship Id="rId5" Type="http://schemas.openxmlformats.org/officeDocument/2006/relationships/hyperlink" Target="consultantplus://offline/ref=720DE62302DE5ADB997A0DE2B22D561AE3285CC52F77D1BE5767CE1D703543C443C5A8DEDA420876y2Q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Kadebskaya-EA</dc:creator>
  <cp:keywords/>
  <dc:description/>
  <cp:lastModifiedBy>Kadebskaya-EA</cp:lastModifiedBy>
  <cp:revision>2</cp:revision>
  <dcterms:created xsi:type="dcterms:W3CDTF">2016-05-05T08:25:00Z</dcterms:created>
  <dcterms:modified xsi:type="dcterms:W3CDTF">2016-05-05T08:25:00Z</dcterms:modified>
</cp:coreProperties>
</file>